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9026AB" w14:textId="77777777" w:rsidR="00E21446" w:rsidRPr="00E21446" w:rsidRDefault="00E21446" w:rsidP="00E21446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Respostas objetivas</w:t>
      </w:r>
    </w:p>
    <w:p w14:paraId="032834EF" w14:textId="77777777" w:rsidR="00E21446" w:rsidRPr="00E21446" w:rsidRDefault="00E21446" w:rsidP="00E214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Arquitetura de software é a definição da estrutura de alto nível de um sistema — seus componentes, responsabilidades e relacionamentos — que orienta decisões de evolução ao longo do ciclo de vida (CORRÊA, 2025). Três características essenciais são: escalabilidade (preferencialmente horizontal, para distribuir carga e isolar falhas), modularidade (alta coesão e baixo acoplamento para facilitar entendimento, testes e substituição de partes) e manutenibilidade (capacidade de evoluir com baixo risco e custo, preservando comportamentos já validados) (CORRÊA, 2025; ANICHE, 2015; MARTIN; MARTIN, 2011).</w:t>
      </w:r>
    </w:p>
    <w:p w14:paraId="38835AE3" w14:textId="77777777" w:rsidR="00E21446" w:rsidRPr="00E21446" w:rsidRDefault="00E21446" w:rsidP="00E214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Arquitetura em camadas: vantagem — separação lógica clara e simplicidade operacional de implantação única; desvantagem — implantação como bloco único limita a escalabilidade independente e a cadência de mudanças por módulo (CORRÊA, 2025). Arquitetura de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: vantagem — escalabilidade granular por domínio e autonomia de equipes; desvantagem — maior complexidade operacional (orquestração, mensageria,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e desafios de consistência e latência entre serviços (CORRÊA, 2025). Em transições, um monólito modular pode servir como etapa intermediária (MARTIN, 2009).</w:t>
      </w:r>
    </w:p>
    <w:p w14:paraId="22429ACC" w14:textId="77777777" w:rsidR="00E21446" w:rsidRPr="00E21446" w:rsidRDefault="00E21446" w:rsidP="00E2144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e alta disponibilidade, eu escolheria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. A decomposição por domínios (catálogo, carrinho, pedidos, pagamentos) permite escalar seletivamente e isolar falhas; mensageria e processamento assíncrono desacoplam fluxos críticos (CORRÊA, 2025). Quanto à infraestrutura, nuvem pública é vantajosa pela elasticidade rápida, serviços gerenciados e presença global; nuvem privada oferece controle fino e pode compor estratégia híbrida para cargas sensíveis. Em qualquer modelo, recomenda-se redundância entre zonas/regiões, verificações automáticas de saúde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checks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), disjuntor lógico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e novas tentativas com intervalos crescentes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para sustentar alta disponibilidade (CORRÊA, 2025).</w:t>
      </w:r>
    </w:p>
    <w:p w14:paraId="26ADD5F2" w14:textId="50384094" w:rsidR="00E21446" w:rsidRPr="00E21446" w:rsidRDefault="00E21446" w:rsidP="00E21446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Fundamentação</w:t>
      </w:r>
    </w:p>
    <w:p w14:paraId="75F57649" w14:textId="77777777" w:rsidR="00E21446" w:rsidRPr="00E21446" w:rsidRDefault="00E21446" w:rsidP="00E21446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O desenvolvimento de software contemporâneo exige que empresas projetem sistemas cada vez mais complexos, escaláveis e resilientes. A arquitetura de software, nesse contexto, não é apenas um conjunto de diagramas, mas a definição da estrutura de alto nível do sistema e das regras que guiarão a sua evolução ao longo do tempo. Como destaca Corrêa (2025), a escolha arquitetural impacta diretamente a escalabilidade, a manutenibilidade e o custo de evolução dos sistemas. Uma decisão equivocada nessa etapa pode levar a aplicações rígidas, difíceis de manter e de alto custo, enquanto uma arquitetura bem estruturada promove paralelismo no desenvolvimento, melhor utilização da infraestrutura e capacidade de adaptação às mudanças de negócio (CORRÊA, 2025).</w:t>
      </w:r>
    </w:p>
    <w:p w14:paraId="64C7B266" w14:textId="77777777" w:rsidR="00E21446" w:rsidRPr="00E21446" w:rsidRDefault="00E21446" w:rsidP="00E21446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Historicamente, arquiteturas evoluíram de monólitos executados em mainframes, altamente centralizados e verticalmente escaláveis, para sistemas distribuídos e orientados a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, baseados em escalabilidade horizontal e execução em clusters. Essa evolução se conecta à transição tecnológica: do modelo de computação centralizada em grandes mainframes ao paradigma da computação em nuvem (cloud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), em que soluções como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são empregadas para oferecer virtualização, orquestração e elasticidade (CORRÊA, 2025). Nesse percurso, princípios de engenharia como SOLID e padrões de projeto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tornaram-se fundamentais para modularidade, desacoplamento e reuso (GAMMA et al., 1995; ANICHE, 2015).</w:t>
      </w:r>
    </w:p>
    <w:p w14:paraId="7F65F653" w14:textId="77777777" w:rsidR="00E21446" w:rsidRPr="00E21446" w:rsidRDefault="00E21446" w:rsidP="00E21446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De acordo com Corrêa (2025), a arquitetura de software define a estrutura macro do sistema, como os componentes se relacionam e quais responsabilidades cabem a cada parte, servindo de base para decisões de evolução ao longo do ciclo de vida.</w:t>
      </w:r>
    </w:p>
    <w:p w14:paraId="05A7CA76" w14:textId="77777777" w:rsidR="00E21446" w:rsidRPr="00E21446" w:rsidRDefault="00E21446" w:rsidP="00960777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Escalabilidade: capacidade de lidar com crescimento de carga verticalmente (mais recursos em um nó) ou horizontalmente (</w:t>
      </w:r>
      <w:proofErr w:type="gram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mais</w:t>
      </w:r>
      <w:proofErr w:type="gram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nós/instâncias). Em arquiteturas modernas, a escalabilidade horizontal é preferida por permitir distribuição de carga e isolamento de falhas (CORRÊA, 2025).</w:t>
      </w:r>
    </w:p>
    <w:p w14:paraId="110ED189" w14:textId="77777777" w:rsidR="00E21446" w:rsidRPr="00E21446" w:rsidRDefault="00E21446" w:rsidP="00960777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Modularidade: decomposição em componentes de alta coesão e baixo acoplamento, o que facilita entendimento, testes e substituição de partes. Relaciona-se ao princípio da responsabilidade única (Single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Responsibility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— SRP), que recomenda que um módulo tenha uma responsabilidade única bem definida (ANICHE, 2015).</w:t>
      </w:r>
    </w:p>
    <w:p w14:paraId="00891EE2" w14:textId="77777777" w:rsidR="00E21446" w:rsidRPr="00E21446" w:rsidRDefault="00E21446" w:rsidP="00960777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Manutenibilidade: facilidade de modificar, estender e corrigir o sistema com risco controlado e custo reduzido. Conecta-se ao princípio aberto/fechado (Open/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Closed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— OCP), segundo o qual os artefatos devem estar abertos à extensão e fechados à modificação, preservando comportamentos já validados (MARTIN; MARTIN, 2011).</w:t>
      </w:r>
    </w:p>
    <w:p w14:paraId="27727ABA" w14:textId="77777777" w:rsidR="00E21446" w:rsidRPr="00E21446" w:rsidRDefault="00E21446" w:rsidP="00E21446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Característica transversal recomendável: tolerância a falhas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(telemetria, logs, métricas e rastreamento de requisições —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tracing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para detectar e isolar problemas rapidamente, diminuindo o tempo médio de recuperação (MTTR) e sustentando disponibilidade (CORRÊA, 2025).</w:t>
      </w:r>
    </w:p>
    <w:p w14:paraId="6DDAF501" w14:textId="7C338950" w:rsidR="00E21446" w:rsidRPr="00E21446" w:rsidRDefault="00E21446" w:rsidP="00E21446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Complementarmente, padrões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aumentam robustez arquitetural: por exemplo, Provedor intermediário (Proxy) para controle de acesso/otimização de chamadas, 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uso do padrão </w:t>
      </w:r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Observador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Observer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para notificação assíncrona entre componentes com baixo acoplamento (GAMMA et al., 1995; MATOS; BARBOSA, 2016).</w:t>
      </w:r>
    </w:p>
    <w:p w14:paraId="140F9645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A arquitetura monolítica concentra interface, regras de negócio e persistência em um único artefato. A vantagem é a simplicidade de implantação e transações consistentes locais; a desvantagem é a rigidez para escalar partes específicas, exigindo replicar todo o artefato (CORRÊA, 2025).</w:t>
      </w:r>
    </w:p>
    <w:p w14:paraId="35049E0C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A arquitetura em camadas introduz separação entre apresentação, negócio e dados, favorecendo organização e separação de responsabilidades. Ainda assim, costuma ser implantada como bloco único, herdando limitações de escalabilidade e independência de mudanças do monólito (CORRÊA, 2025).</w:t>
      </w:r>
    </w:p>
    <w:p w14:paraId="0D30090E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Com o aumento de requisitos distribuídos,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decompõem o sistema em serviços independentes por domínio. Ganha-se escalabilidade granular e autonomia de equipes, mas aumenta a complexidade operacional: </w:t>
      </w:r>
      <w:r w:rsidRPr="00E2144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orquestração, mensageria (troca assíncrona de mensagens),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 desafios de consistência/latência entre serviços (CORRÊA, 2025).</w:t>
      </w:r>
    </w:p>
    <w:p w14:paraId="06D817A2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Entre os extremos, o monólito modular combina simplicidade de implantação com isolamento interno de módulos, útil como etapa intermediária para evitar distribuição prematura quando o domínio ainda não está claro (MARTIN, 2009).</w:t>
      </w:r>
    </w:p>
    <w:p w14:paraId="09292815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Além de nuvem privada, é relevante considerar nuvem pública e abordagens híbridas no contexto de implantação de sistemas (CORRÊA, 2025).</w:t>
      </w:r>
    </w:p>
    <w:p w14:paraId="0AF373D7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Nuvem pública: recursos de computação, rede e armazenamento fornecidos por provedores externos, com provisionamento sob demanda e presença global. Benefícios: elasticidade rápida, ampla oferta de serviços gerenciados (bancos, filas/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streams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, cache, CDN) e redução de tempo de entrega. Desafios: gestão de custos variáveis, risco de dependência de fornecedor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-in) e necessidade de configuração rigorosa de segurança e conformidade (responsabilidade compartilhada) (CORRÊA, 2025).</w:t>
      </w:r>
    </w:p>
    <w:p w14:paraId="38AFBA26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Nuvem privada: infraestrutura dedicada, operada pela própria organização ou parceiro, com plataformas como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virtualizadores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como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. Benefícios: maior controle sobre rede, segurança e dados; adequação a integrações legadas e requisitos específicos de conformidade. Desafios: capacidade limitada ao hardware disponível, maiores investimentos e esforço operacional para manter elasticidade e serviços de base (CORRÊA, 2025).</w:t>
      </w:r>
    </w:p>
    <w:p w14:paraId="488522BD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Híbrida/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multinuvem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: combinação orquestrada de ambientes privados e públicos. Benefícios: flexibilidade para alocar cargas conforme requisitos (custo, latência, sensibilidade dos dados) e resiliência a falhas de um único provedor. Desafios: aumento de complexidade de operação, governança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observabilidade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entre ambientes (CORRÊA, 2025).</w:t>
      </w:r>
    </w:p>
    <w:p w14:paraId="36928BD2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Em termos arquiteturais,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, mensageria e containers favorecem portabilidade entre modelos, mitigando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lock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-in e facilitando picos sazonais, como campanhas de alto tráfego (CORRÊA, 2025).</w:t>
      </w:r>
    </w:p>
    <w:p w14:paraId="4B34059C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Em nuvem privada,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Proxmox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(plataforma de nuvem privada) permitem criação e gestão de máquinas virtuais e redes, enquanto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orquestra containers, automatizando distribuição, escalonamento e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autorrecuperação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. Docker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runtime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de containers) fornece o mecanismo para criar e executar containers (CORRÊA, 2025). No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, Nova (computação),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Neutron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(rede),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Cinder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(armazenamento em blocos) e Swift (armazenamento de objetos) compõem a base de serviços (CORRÊA, 2025; MATOS; BARBOSA, 2016).</w:t>
      </w:r>
    </w:p>
    <w:p w14:paraId="25C81A80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Containers representam virtualização em nível de sistema operacional, compartilhando o kernel e isolando processos/recursos, reduzindo overhead e acelerando provisionamento — úteis para serviços de apoio, aplicações leves e ambientes de teste (CORRÊA, 2025).</w:t>
      </w:r>
    </w:p>
    <w:p w14:paraId="7D2507DC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Para um e-commerce com milhões de usuários simultâneos e alta disponibilidade, a escolha recomendada é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, decompondo o sistema em domínios independentes — catálogo, carrinho, pedidos, pagamentos. Assim, escalam-se apenas os módulos mais demandados e reduzem-se gargalos específicos (CORRÊA, 2025). Mensageria e eventos (processamento assíncrono) desacoplam fluxos críticos, como confirmação de pedido e processamento de pagamento, aumentando resiliência a picos.</w:t>
      </w:r>
    </w:p>
    <w:p w14:paraId="10AB75B7" w14:textId="56690E78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>Quanto ao modelo de nuvem, a recomendação prática é usar nuvem pública como base</w:t>
      </w:r>
      <w:r w:rsidR="00755E23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E21446">
        <w:rPr>
          <w:rFonts w:ascii="Arial" w:eastAsia="Times New Roman" w:hAnsi="Arial" w:cs="Arial"/>
          <w:sz w:val="24"/>
          <w:szCs w:val="24"/>
          <w:lang w:eastAsia="pt-BR"/>
        </w:rPr>
        <w:t>pela elasticidade rápida, serviços gerenciados e presença global</w:t>
      </w:r>
      <w:r w:rsidR="00755E23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e avaliar cenários híbridos quando houver cargas sensíveis, integrações legadas de baixa latência ou previsibilidade de custo que justifique parte da infraestrutura privada (CORRÊA, 2025). Em ambos os casos, privilegie implantação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multi-região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 redundância entre zonas para reduzir latência e aumentar disponibilidade.</w:t>
      </w:r>
    </w:p>
    <w:p w14:paraId="1CCFAB73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Na infraestrutura, um cluster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(orquestrador de containers) com esteiras de entrega (CI/CD) e infraestrutura como código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IaC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oferece elasticidade e isolamento de falhas, com escalonamento automático e reprogramação de instâncias. Para sustentar alta disponibilidade, recomenda-se redundância entre zonas/regiões, verificações automáticas de saúde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health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checks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), disjuntor lógico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circuit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breaker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 e novas tentativas com intervalos crescentes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retry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com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backoff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>), mitigando falhas parciais e intermitências de rede (CORRÊA, 2025). Padrões como Provedor intermediário (Proxy) e o princípio de inversão de dependência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Dependency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Inversion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Principle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— DIP) ajudam a controlar acesso a recursos críticos e a manter baixo acoplamento (GAMMA et al., 1995; CAMPOMORI, 2017).</w:t>
      </w:r>
    </w:p>
    <w:p w14:paraId="6CFBB6ED" w14:textId="77777777" w:rsidR="00E21446" w:rsidRPr="00E21446" w:rsidRDefault="00E21446" w:rsidP="00755E23">
      <w:pPr>
        <w:spacing w:before="100" w:beforeAutospacing="1" w:after="100" w:afterAutospacing="1" w:line="360" w:lineRule="auto"/>
        <w:ind w:firstLine="708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Uma boa arquitetura equilibra simplicidade e capacidade de evolução, apoiando-se em princípios SOLID e padrões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para reduzir acoplamento e aumentar coesão (GAMMA et al., 1995; ANICHE, 2015). Em alta escala,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microsserviços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sobre plataformas de virtualização e orquestração (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OpenStack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E21446">
        <w:rPr>
          <w:rFonts w:ascii="Arial" w:eastAsia="Times New Roman" w:hAnsi="Arial" w:cs="Arial"/>
          <w:sz w:val="24"/>
          <w:szCs w:val="24"/>
          <w:lang w:eastAsia="pt-BR"/>
        </w:rPr>
        <w:t>Kubernetes</w:t>
      </w:r>
      <w:proofErr w:type="spellEnd"/>
      <w:r w:rsidRPr="00E21446">
        <w:rPr>
          <w:rFonts w:ascii="Arial" w:eastAsia="Times New Roman" w:hAnsi="Arial" w:cs="Arial"/>
          <w:sz w:val="24"/>
          <w:szCs w:val="24"/>
          <w:lang w:eastAsia="pt-BR"/>
        </w:rPr>
        <w:t xml:space="preserve"> e Docker) oferecem base técnica para lidar com milhões de usuários e garantir disponibilidade; e a escolha entre nuvem pública, privada ou híbrida deve considerar elasticidade, custo, controle e conformidade (CORRÊA, 2025). Não há solução universal: a decisão depende do estágio do projeto, maturidade da equipe e requisitos de negócio (MARTIN, 2009).</w:t>
      </w:r>
    </w:p>
    <w:p w14:paraId="2A5D292E" w14:textId="77777777" w:rsidR="00755E23" w:rsidRPr="009A32CD" w:rsidRDefault="00755E23" w:rsidP="00755E23">
      <w:pPr>
        <w:spacing w:before="100" w:beforeAutospacing="1" w:after="100" w:afterAutospacing="1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Referências</w:t>
      </w:r>
    </w:p>
    <w:p w14:paraId="53019816" w14:textId="77777777" w:rsidR="00755E23" w:rsidRPr="009A32CD" w:rsidRDefault="00755E23" w:rsidP="00755E23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A32CD">
        <w:rPr>
          <w:rFonts w:ascii="Arial" w:eastAsia="Times New Roman" w:hAnsi="Arial" w:cs="Arial"/>
          <w:sz w:val="24"/>
          <w:szCs w:val="24"/>
          <w:lang w:eastAsia="pt-BR"/>
        </w:rPr>
        <w:t>ANICHE, Maurício. Orientação a objetos e SOLID para ninjas: projetando classes flexíveis. São Paulo: Casa do Código, 2015.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CAMPOMORI, Cleber. Introdução aos Princípios SOLID. [S. l.], 9 jul. 2017. Disponível em: </w:t>
      </w:r>
      <w:hyperlink r:id="rId5" w:history="1">
        <w:r w:rsidRPr="009A32C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pt-BR"/>
          </w:rPr>
          <w:t>https://www.treinaweb.com.br/blog/introducao-aos-principios-solid/</w:t>
        </w:r>
      </w:hyperlink>
      <w:r w:rsidRPr="009A32CD">
        <w:rPr>
          <w:rFonts w:ascii="Arial" w:eastAsia="Times New Roman" w:hAnsi="Arial" w:cs="Arial"/>
          <w:sz w:val="24"/>
          <w:szCs w:val="24"/>
          <w:lang w:eastAsia="pt-BR"/>
        </w:rPr>
        <w:t>. Acesso em: 30 ago. 2025.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CORRÊA, D. A. Projeto, implementação e teste de software. Florianópolis: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Arqué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2025.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GAMMA, Erich et al. Design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patterns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elements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reusable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object-oriented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software. Londres: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Addison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-Wesley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Longman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, 1995.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 Código limpo: habilidades práticas do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Agile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Software. Rio de Janeiro: Alta Books, 2009.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MARTIN, Robert C.; MARTIN,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Micah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>. Princípios, padrões e práticas ágeis em C#. Porto Alegre: Bookman, 2011.</w:t>
      </w:r>
      <w:r w:rsidRPr="009A32C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MATOS, Claudio Costa; BARBOSA, Fernando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Kauffmann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. O uso dos padrões de projeto </w:t>
      </w:r>
      <w:proofErr w:type="spellStart"/>
      <w:r w:rsidRPr="009A32CD">
        <w:rPr>
          <w:rFonts w:ascii="Arial" w:eastAsia="Times New Roman" w:hAnsi="Arial" w:cs="Arial"/>
          <w:sz w:val="24"/>
          <w:szCs w:val="24"/>
          <w:lang w:eastAsia="pt-BR"/>
        </w:rPr>
        <w:t>GoF</w:t>
      </w:r>
      <w:proofErr w:type="spellEnd"/>
      <w:r w:rsidRPr="009A32CD">
        <w:rPr>
          <w:rFonts w:ascii="Arial" w:eastAsia="Times New Roman" w:hAnsi="Arial" w:cs="Arial"/>
          <w:sz w:val="24"/>
          <w:szCs w:val="24"/>
          <w:lang w:eastAsia="pt-BR"/>
        </w:rPr>
        <w:t xml:space="preserve"> na análise e desenvolvimento de sistemas. Revista UNILUS Ensino e Pesquisa, v. 13, n. 30, p. 41–53, jan./mar. 2016.</w:t>
      </w:r>
    </w:p>
    <w:p w14:paraId="7E55C86D" w14:textId="77777777" w:rsidR="004F610E" w:rsidRPr="00960777" w:rsidRDefault="004F610E" w:rsidP="00E2144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4F610E" w:rsidRPr="00960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FE1D9F"/>
    <w:multiLevelType w:val="multilevel"/>
    <w:tmpl w:val="265E56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493738"/>
    <w:multiLevelType w:val="multilevel"/>
    <w:tmpl w:val="4940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B6354"/>
    <w:multiLevelType w:val="multilevel"/>
    <w:tmpl w:val="BC9A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95"/>
    <w:rsid w:val="004F610E"/>
    <w:rsid w:val="00755E23"/>
    <w:rsid w:val="00960777"/>
    <w:rsid w:val="00C32F5B"/>
    <w:rsid w:val="00E21446"/>
    <w:rsid w:val="00F6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ADD3C"/>
  <w15:chartTrackingRefBased/>
  <w15:docId w15:val="{AE53828F-7205-4B74-B14B-9DE752342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E214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214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E2144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2144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21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214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11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einaweb.com.br/blog/introducao-aos-principios-sol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1916</Words>
  <Characters>10351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4</cp:revision>
  <dcterms:created xsi:type="dcterms:W3CDTF">2025-08-30T16:18:00Z</dcterms:created>
  <dcterms:modified xsi:type="dcterms:W3CDTF">2025-08-30T16:55:00Z</dcterms:modified>
</cp:coreProperties>
</file>