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606177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F5BE7">
        <w:rPr>
          <w:rFonts w:ascii="Arial" w:hAnsi="Arial" w:cs="Arial"/>
          <w:b/>
          <w:bCs/>
          <w:sz w:val="24"/>
          <w:szCs w:val="24"/>
        </w:rPr>
        <w:t>Introdução</w:t>
      </w:r>
    </w:p>
    <w:p w14:paraId="2387D2E5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O desenvolvimento de software contemporâneo exige que empresas projetem sistemas cada vez mais complexos, escaláveis e resilientes. A arquitetura de software, nesse contexto, não é apenas um conjunto de diagramas, mas a </w:t>
      </w:r>
      <w:r w:rsidRPr="00DF5BE7">
        <w:rPr>
          <w:rFonts w:ascii="Arial" w:hAnsi="Arial" w:cs="Arial"/>
          <w:b/>
          <w:bCs/>
          <w:sz w:val="24"/>
          <w:szCs w:val="24"/>
        </w:rPr>
        <w:t>definição da estrutura de alto nível do sistema</w:t>
      </w:r>
      <w:r w:rsidRPr="00DF5BE7">
        <w:rPr>
          <w:rFonts w:ascii="Arial" w:hAnsi="Arial" w:cs="Arial"/>
          <w:sz w:val="24"/>
          <w:szCs w:val="24"/>
        </w:rPr>
        <w:t xml:space="preserve"> e das regras que guiarão a sua evolução ao longo do tempo. Como destaca Corrêa (2025), a escolha arquitetural impacta diretamente a escalabilidade, a manutenibilidade e o custo de evolução dos sistemas. Uma decisão equivocada nessa etapa pode levar a aplicações rígidas, difíceis de manter e de alto custo, enquanto uma arquitetura bem estruturada promove paralelismo no desenvolvimento, melhor utilização da infraestrutura e capacidade de adaptação às mudanças de negócio.</w:t>
      </w:r>
    </w:p>
    <w:p w14:paraId="2CB26BAA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Historicamente, arquiteturas evoluíram de </w:t>
      </w:r>
      <w:r w:rsidRPr="00DF5BE7">
        <w:rPr>
          <w:rFonts w:ascii="Arial" w:hAnsi="Arial" w:cs="Arial"/>
          <w:b/>
          <w:bCs/>
          <w:sz w:val="24"/>
          <w:szCs w:val="24"/>
        </w:rPr>
        <w:t>monólitos executados em mainframes</w:t>
      </w:r>
      <w:r w:rsidRPr="00DF5BE7">
        <w:rPr>
          <w:rFonts w:ascii="Arial" w:hAnsi="Arial" w:cs="Arial"/>
          <w:sz w:val="24"/>
          <w:szCs w:val="24"/>
        </w:rPr>
        <w:t xml:space="preserve">, altamente centralizados e verticalmente escaláveis, para </w:t>
      </w:r>
      <w:r w:rsidRPr="00DF5BE7">
        <w:rPr>
          <w:rFonts w:ascii="Arial" w:hAnsi="Arial" w:cs="Arial"/>
          <w:b/>
          <w:bCs/>
          <w:sz w:val="24"/>
          <w:szCs w:val="24"/>
        </w:rPr>
        <w:t xml:space="preserve">sistemas distribuídos e orientados a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microsserviços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, baseados em escalabilidade horizontal e execução em clusters. Essa evolução se conecta à transição tecnológica: do modelo de computação centralizada em grandes mainframes ao paradigma da </w:t>
      </w:r>
      <w:r w:rsidRPr="00DF5BE7">
        <w:rPr>
          <w:rFonts w:ascii="Arial" w:hAnsi="Arial" w:cs="Arial"/>
          <w:b/>
          <w:bCs/>
          <w:sz w:val="24"/>
          <w:szCs w:val="24"/>
        </w:rPr>
        <w:t>computação em nuvem</w:t>
      </w:r>
      <w:r w:rsidRPr="00DF5BE7">
        <w:rPr>
          <w:rFonts w:ascii="Arial" w:hAnsi="Arial" w:cs="Arial"/>
          <w:sz w:val="24"/>
          <w:szCs w:val="24"/>
        </w:rPr>
        <w:t xml:space="preserve"> (cloud </w:t>
      </w:r>
      <w:proofErr w:type="spellStart"/>
      <w:r w:rsidRPr="00DF5BE7">
        <w:rPr>
          <w:rFonts w:ascii="Arial" w:hAnsi="Arial" w:cs="Arial"/>
          <w:sz w:val="24"/>
          <w:szCs w:val="24"/>
        </w:rPr>
        <w:t>computing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), em que soluções como </w:t>
      </w:r>
      <w:proofErr w:type="spellStart"/>
      <w:r w:rsidRPr="00DF5BE7">
        <w:rPr>
          <w:rFonts w:ascii="Arial" w:hAnsi="Arial" w:cs="Arial"/>
          <w:sz w:val="24"/>
          <w:szCs w:val="24"/>
        </w:rPr>
        <w:t>Proxmox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5BE7">
        <w:rPr>
          <w:rFonts w:ascii="Arial" w:hAnsi="Arial" w:cs="Arial"/>
          <w:sz w:val="24"/>
          <w:szCs w:val="24"/>
        </w:rPr>
        <w:t>OpenStack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F5BE7">
        <w:rPr>
          <w:rFonts w:ascii="Arial" w:hAnsi="Arial" w:cs="Arial"/>
          <w:sz w:val="24"/>
          <w:szCs w:val="24"/>
        </w:rPr>
        <w:t>Kubernetes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 são empregadas para oferecer virtualização, orquestração e elasticidade.</w:t>
      </w:r>
    </w:p>
    <w:p w14:paraId="53D935BE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Nesse percurso, princípios de engenharia como </w:t>
      </w:r>
      <w:r w:rsidRPr="00DF5BE7">
        <w:rPr>
          <w:rFonts w:ascii="Arial" w:hAnsi="Arial" w:cs="Arial"/>
          <w:b/>
          <w:bCs/>
          <w:sz w:val="24"/>
          <w:szCs w:val="24"/>
        </w:rPr>
        <w:t>SOLID</w:t>
      </w:r>
      <w:r w:rsidRPr="00DF5BE7">
        <w:rPr>
          <w:rFonts w:ascii="Arial" w:hAnsi="Arial" w:cs="Arial"/>
          <w:sz w:val="24"/>
          <w:szCs w:val="24"/>
        </w:rPr>
        <w:t xml:space="preserve"> (CAMPOMORI, 2017) e padrões de projeto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GoF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 (GAMMA et al., 1995) se tornaram fundamentais para garantir modularidade, desacoplamento e reuso. A arquitetura, portanto, não se resume ao “desenho” do sistema, mas deve integrar estilos arquiteturais, boas práticas de código e infraestrutura tecnológica capaz de sustentar milhões de usuários simultâneos em escala global.</w:t>
      </w:r>
    </w:p>
    <w:p w14:paraId="4EEFA3D2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pict w14:anchorId="76ADDDC3">
          <v:rect id="_x0000_i1169" style="width:0;height:1.5pt" o:hrstd="t" o:hr="t" fillcolor="#a0a0a0" stroked="f"/>
        </w:pict>
      </w:r>
    </w:p>
    <w:p w14:paraId="5A6C9B69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F5BE7">
        <w:rPr>
          <w:rFonts w:ascii="Arial" w:hAnsi="Arial" w:cs="Arial"/>
          <w:b/>
          <w:bCs/>
          <w:sz w:val="24"/>
          <w:szCs w:val="24"/>
        </w:rPr>
        <w:t>Arquitetura de software e suas características</w:t>
      </w:r>
    </w:p>
    <w:p w14:paraId="1392E91C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De acordo com Corrêa (2025), a arquitetura de software é responsável por definir a estrutura macro do sistema, indicando como os componentes se relacionam e quais responsabilidades são atribuídas a cada parte. Para que uma arquitetura </w:t>
      </w:r>
      <w:r w:rsidRPr="00DF5BE7">
        <w:rPr>
          <w:rFonts w:ascii="Arial" w:hAnsi="Arial" w:cs="Arial"/>
          <w:sz w:val="24"/>
          <w:szCs w:val="24"/>
        </w:rPr>
        <w:lastRenderedPageBreak/>
        <w:t xml:space="preserve">seja considerada adequada, três características são essenciais: </w:t>
      </w:r>
      <w:r w:rsidRPr="00DF5BE7">
        <w:rPr>
          <w:rFonts w:ascii="Arial" w:hAnsi="Arial" w:cs="Arial"/>
          <w:b/>
          <w:bCs/>
          <w:sz w:val="24"/>
          <w:szCs w:val="24"/>
        </w:rPr>
        <w:t>escalabilidade, modularidade e manutenibilidade</w:t>
      </w:r>
      <w:r w:rsidRPr="00DF5BE7">
        <w:rPr>
          <w:rFonts w:ascii="Arial" w:hAnsi="Arial" w:cs="Arial"/>
          <w:sz w:val="24"/>
          <w:szCs w:val="24"/>
        </w:rPr>
        <w:t>.</w:t>
      </w:r>
    </w:p>
    <w:p w14:paraId="0605821C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A </w:t>
      </w:r>
      <w:r w:rsidRPr="00DF5BE7">
        <w:rPr>
          <w:rFonts w:ascii="Arial" w:hAnsi="Arial" w:cs="Arial"/>
          <w:b/>
          <w:bCs/>
          <w:sz w:val="24"/>
          <w:szCs w:val="24"/>
        </w:rPr>
        <w:t>escalabilidade</w:t>
      </w:r>
      <w:r w:rsidRPr="00DF5BE7">
        <w:rPr>
          <w:rFonts w:ascii="Arial" w:hAnsi="Arial" w:cs="Arial"/>
          <w:sz w:val="24"/>
          <w:szCs w:val="24"/>
        </w:rPr>
        <w:t xml:space="preserve"> assegura que o sistema se adapte ao crescimento de usuários e dados, seja pela adição de recursos de hardware (escalabilidade vertical) ou pela replicação de instâncias em diferentes servidores (escalabilidade horizontal). A </w:t>
      </w:r>
      <w:r w:rsidRPr="00DF5BE7">
        <w:rPr>
          <w:rFonts w:ascii="Arial" w:hAnsi="Arial" w:cs="Arial"/>
          <w:b/>
          <w:bCs/>
          <w:sz w:val="24"/>
          <w:szCs w:val="24"/>
        </w:rPr>
        <w:t>modularidade</w:t>
      </w:r>
      <w:r w:rsidRPr="00DF5BE7">
        <w:rPr>
          <w:rFonts w:ascii="Arial" w:hAnsi="Arial" w:cs="Arial"/>
          <w:sz w:val="24"/>
          <w:szCs w:val="24"/>
        </w:rPr>
        <w:t xml:space="preserve"> permite dividir o sistema em componentes de baixo acoplamento e alta coesão, princípio diretamente relacionado ao </w:t>
      </w:r>
      <w:r w:rsidRPr="00DF5BE7">
        <w:rPr>
          <w:rFonts w:ascii="Arial" w:hAnsi="Arial" w:cs="Arial"/>
          <w:b/>
          <w:bCs/>
          <w:sz w:val="24"/>
          <w:szCs w:val="24"/>
        </w:rPr>
        <w:t xml:space="preserve">Single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Responsibility</w:t>
      </w:r>
      <w:proofErr w:type="spellEnd"/>
      <w:r w:rsidRPr="00DF5BE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Principle</w:t>
      </w:r>
      <w:proofErr w:type="spellEnd"/>
      <w:r w:rsidRPr="00DF5BE7">
        <w:rPr>
          <w:rFonts w:ascii="Arial" w:hAnsi="Arial" w:cs="Arial"/>
          <w:b/>
          <w:bCs/>
          <w:sz w:val="24"/>
          <w:szCs w:val="24"/>
        </w:rPr>
        <w:t xml:space="preserve"> (SRP)</w:t>
      </w:r>
      <w:r w:rsidRPr="00DF5BE7">
        <w:rPr>
          <w:rFonts w:ascii="Arial" w:hAnsi="Arial" w:cs="Arial"/>
          <w:sz w:val="24"/>
          <w:szCs w:val="24"/>
        </w:rPr>
        <w:t xml:space="preserve"> do SOLID, segundo o qual cada classe ou módulo deve ter apenas uma responsabilidade (ANICHE, 2015). Já a </w:t>
      </w:r>
      <w:r w:rsidRPr="00DF5BE7">
        <w:rPr>
          <w:rFonts w:ascii="Arial" w:hAnsi="Arial" w:cs="Arial"/>
          <w:b/>
          <w:bCs/>
          <w:sz w:val="24"/>
          <w:szCs w:val="24"/>
        </w:rPr>
        <w:t>manutenibilidade</w:t>
      </w:r>
      <w:r w:rsidRPr="00DF5BE7">
        <w:rPr>
          <w:rFonts w:ascii="Arial" w:hAnsi="Arial" w:cs="Arial"/>
          <w:sz w:val="24"/>
          <w:szCs w:val="24"/>
        </w:rPr>
        <w:t xml:space="preserve"> reflete a capacidade de incorporar mudanças sem comprometer a estabilidade, apoiada por padrões como o </w:t>
      </w:r>
      <w:r w:rsidRPr="00DF5BE7">
        <w:rPr>
          <w:rFonts w:ascii="Arial" w:hAnsi="Arial" w:cs="Arial"/>
          <w:i/>
          <w:iCs/>
          <w:sz w:val="24"/>
          <w:szCs w:val="24"/>
        </w:rPr>
        <w:t>Open/</w:t>
      </w:r>
      <w:proofErr w:type="spellStart"/>
      <w:r w:rsidRPr="00DF5BE7">
        <w:rPr>
          <w:rFonts w:ascii="Arial" w:hAnsi="Arial" w:cs="Arial"/>
          <w:i/>
          <w:iCs/>
          <w:sz w:val="24"/>
          <w:szCs w:val="24"/>
        </w:rPr>
        <w:t>Closed</w:t>
      </w:r>
      <w:proofErr w:type="spellEnd"/>
      <w:r w:rsidRPr="00DF5BE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DF5BE7">
        <w:rPr>
          <w:rFonts w:ascii="Arial" w:hAnsi="Arial" w:cs="Arial"/>
          <w:i/>
          <w:iCs/>
          <w:sz w:val="24"/>
          <w:szCs w:val="24"/>
        </w:rPr>
        <w:t>Principle</w:t>
      </w:r>
      <w:proofErr w:type="spellEnd"/>
      <w:r w:rsidRPr="00DF5BE7">
        <w:rPr>
          <w:rFonts w:ascii="Arial" w:hAnsi="Arial" w:cs="Arial"/>
          <w:i/>
          <w:iCs/>
          <w:sz w:val="24"/>
          <w:szCs w:val="24"/>
        </w:rPr>
        <w:t xml:space="preserve"> (OCP)</w:t>
      </w:r>
      <w:r w:rsidRPr="00DF5BE7">
        <w:rPr>
          <w:rFonts w:ascii="Arial" w:hAnsi="Arial" w:cs="Arial"/>
          <w:sz w:val="24"/>
          <w:szCs w:val="24"/>
        </w:rPr>
        <w:t>, que defende que sistemas devem estar abertos para extensão, mas fechados para modificação (MARTIN; MARTIN, 2011).</w:t>
      </w:r>
    </w:p>
    <w:p w14:paraId="1C5D22B9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Complementarmente, o uso de padrões de projeto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GoF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 amplia a robustez arquitetural. O padrão </w:t>
      </w:r>
      <w:proofErr w:type="spellStart"/>
      <w:r w:rsidRPr="00DF5BE7">
        <w:rPr>
          <w:rFonts w:ascii="Arial" w:hAnsi="Arial" w:cs="Arial"/>
          <w:i/>
          <w:iCs/>
          <w:sz w:val="24"/>
          <w:szCs w:val="24"/>
        </w:rPr>
        <w:t>Singleton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, por exemplo, garante que um objeto seja instanciado uma única vez, sendo útil em contextos de configuração global. Já o padrão </w:t>
      </w:r>
      <w:proofErr w:type="spellStart"/>
      <w:r w:rsidRPr="00DF5BE7">
        <w:rPr>
          <w:rFonts w:ascii="Arial" w:hAnsi="Arial" w:cs="Arial"/>
          <w:i/>
          <w:iCs/>
          <w:sz w:val="24"/>
          <w:szCs w:val="24"/>
        </w:rPr>
        <w:t>Observer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 é amplamente aplicado em </w:t>
      </w:r>
      <w:proofErr w:type="spellStart"/>
      <w:r w:rsidRPr="00DF5BE7">
        <w:rPr>
          <w:rFonts w:ascii="Arial" w:hAnsi="Arial" w:cs="Arial"/>
          <w:sz w:val="24"/>
          <w:szCs w:val="24"/>
        </w:rPr>
        <w:t>microsserviços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 para notificação de eventos assíncronos, promovendo baixo acoplamento entre componentes (MATOS; BARBOSA, 2016).</w:t>
      </w:r>
    </w:p>
    <w:p w14:paraId="3C09CFAD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pict w14:anchorId="072180EC">
          <v:rect id="_x0000_i1170" style="width:0;height:1.5pt" o:hrstd="t" o:hr="t" fillcolor="#a0a0a0" stroked="f"/>
        </w:pict>
      </w:r>
    </w:p>
    <w:p w14:paraId="5F70E9BA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F5BE7">
        <w:rPr>
          <w:rFonts w:ascii="Arial" w:hAnsi="Arial" w:cs="Arial"/>
          <w:b/>
          <w:bCs/>
          <w:sz w:val="24"/>
          <w:szCs w:val="24"/>
        </w:rPr>
        <w:t xml:space="preserve">Estilos arquiteturais: do monólito aos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microsserviços</w:t>
      </w:r>
      <w:proofErr w:type="spellEnd"/>
    </w:p>
    <w:p w14:paraId="09C36229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A arquitetura em </w:t>
      </w:r>
      <w:r w:rsidRPr="00DF5BE7">
        <w:rPr>
          <w:rFonts w:ascii="Arial" w:hAnsi="Arial" w:cs="Arial"/>
          <w:b/>
          <w:bCs/>
          <w:sz w:val="24"/>
          <w:szCs w:val="24"/>
        </w:rPr>
        <w:t>monólito</w:t>
      </w:r>
      <w:r w:rsidRPr="00DF5BE7">
        <w:rPr>
          <w:rFonts w:ascii="Arial" w:hAnsi="Arial" w:cs="Arial"/>
          <w:sz w:val="24"/>
          <w:szCs w:val="24"/>
        </w:rPr>
        <w:t xml:space="preserve"> foi dominante durante décadas, especialmente em ambientes de mainframe. Nela, todo o sistema — interface, regras de negócio e persistência — é construído como um único artefato. A vantagem está na simplicidade de implementação e na facilidade de transações consistentes. Entretanto, seu principal problema é a </w:t>
      </w:r>
      <w:r w:rsidRPr="00DF5BE7">
        <w:rPr>
          <w:rFonts w:ascii="Arial" w:hAnsi="Arial" w:cs="Arial"/>
          <w:b/>
          <w:bCs/>
          <w:sz w:val="24"/>
          <w:szCs w:val="24"/>
        </w:rPr>
        <w:t>rigidez</w:t>
      </w:r>
      <w:r w:rsidRPr="00DF5BE7">
        <w:rPr>
          <w:rFonts w:ascii="Arial" w:hAnsi="Arial" w:cs="Arial"/>
          <w:sz w:val="24"/>
          <w:szCs w:val="24"/>
        </w:rPr>
        <w:t>: para escalar uma funcionalidade específica, é necessário replicar o sistema inteiro, tornando-se ineficiente em cenários de alta demanda.</w:t>
      </w:r>
    </w:p>
    <w:p w14:paraId="27996D5A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A arquitetura em </w:t>
      </w:r>
      <w:r w:rsidRPr="00DF5BE7">
        <w:rPr>
          <w:rFonts w:ascii="Arial" w:hAnsi="Arial" w:cs="Arial"/>
          <w:b/>
          <w:bCs/>
          <w:sz w:val="24"/>
          <w:szCs w:val="24"/>
        </w:rPr>
        <w:t>camadas</w:t>
      </w:r>
      <w:r w:rsidRPr="00DF5BE7">
        <w:rPr>
          <w:rFonts w:ascii="Arial" w:hAnsi="Arial" w:cs="Arial"/>
          <w:sz w:val="24"/>
          <w:szCs w:val="24"/>
        </w:rPr>
        <w:t xml:space="preserve"> é uma evolução do monólito, introduzindo separação entre apresentação, negócio e dados. Ainda que favoreça clareza e organização, mantém a limitação de ser implantada como um bloco único (CORRÊA, 2025).</w:t>
      </w:r>
    </w:p>
    <w:p w14:paraId="4404E0D9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lastRenderedPageBreak/>
        <w:t xml:space="preserve">Com o crescimento das demandas distribuídas, surge a </w:t>
      </w:r>
      <w:r w:rsidRPr="00DF5BE7">
        <w:rPr>
          <w:rFonts w:ascii="Arial" w:hAnsi="Arial" w:cs="Arial"/>
          <w:b/>
          <w:bCs/>
          <w:sz w:val="24"/>
          <w:szCs w:val="24"/>
        </w:rPr>
        <w:t xml:space="preserve">arquitetura de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microsserviços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, caracterizada pela decomposição em serviços independentes, cada qual responsável por um domínio de negócio específico. Essa abordagem viabiliza </w:t>
      </w:r>
      <w:r w:rsidRPr="00DF5BE7">
        <w:rPr>
          <w:rFonts w:ascii="Arial" w:hAnsi="Arial" w:cs="Arial"/>
          <w:b/>
          <w:bCs/>
          <w:sz w:val="24"/>
          <w:szCs w:val="24"/>
        </w:rPr>
        <w:t>escalabilidade granular</w:t>
      </w:r>
      <w:r w:rsidRPr="00DF5BE7">
        <w:rPr>
          <w:rFonts w:ascii="Arial" w:hAnsi="Arial" w:cs="Arial"/>
          <w:sz w:val="24"/>
          <w:szCs w:val="24"/>
        </w:rPr>
        <w:t xml:space="preserve"> e autonomia de equipes. Sua principal desvantagem é a complexidade operacional: exige mecanismos de orquestração (como </w:t>
      </w:r>
      <w:proofErr w:type="spellStart"/>
      <w:r w:rsidRPr="00DF5BE7">
        <w:rPr>
          <w:rFonts w:ascii="Arial" w:hAnsi="Arial" w:cs="Arial"/>
          <w:sz w:val="24"/>
          <w:szCs w:val="24"/>
        </w:rPr>
        <w:t>Kubernetes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), mensageria e </w:t>
      </w:r>
      <w:proofErr w:type="spellStart"/>
      <w:r w:rsidRPr="00DF5BE7">
        <w:rPr>
          <w:rFonts w:ascii="Arial" w:hAnsi="Arial" w:cs="Arial"/>
          <w:sz w:val="24"/>
          <w:szCs w:val="24"/>
        </w:rPr>
        <w:t>observabilidade</w:t>
      </w:r>
      <w:proofErr w:type="spellEnd"/>
      <w:r w:rsidRPr="00DF5BE7">
        <w:rPr>
          <w:rFonts w:ascii="Arial" w:hAnsi="Arial" w:cs="Arial"/>
          <w:sz w:val="24"/>
          <w:szCs w:val="24"/>
        </w:rPr>
        <w:t>, introduzindo novos desafios de consistência e latência.</w:t>
      </w:r>
    </w:p>
    <w:p w14:paraId="0A32C5CB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Entre os dois extremos, desponta o </w:t>
      </w:r>
      <w:r w:rsidRPr="00DF5BE7">
        <w:rPr>
          <w:rFonts w:ascii="Arial" w:hAnsi="Arial" w:cs="Arial"/>
          <w:b/>
          <w:bCs/>
          <w:sz w:val="24"/>
          <w:szCs w:val="24"/>
        </w:rPr>
        <w:t>monólito modular</w:t>
      </w:r>
      <w:r w:rsidRPr="00DF5BE7">
        <w:rPr>
          <w:rFonts w:ascii="Arial" w:hAnsi="Arial" w:cs="Arial"/>
          <w:sz w:val="24"/>
          <w:szCs w:val="24"/>
        </w:rPr>
        <w:t>, uma solução híbrida que combina a simplicidade do monólito com práticas de isolamento de módulos. Essa arquitetura é especialmente útil como etapa intermediária, evitando a armadilha de distribuir prematuramente serviços quando o domínio ainda não está bem compreendido. Como observa Martin (2009), sistemas devem ser desenhados para evoluir com clareza, minimizando complexidade desnecessária.</w:t>
      </w:r>
    </w:p>
    <w:p w14:paraId="58DAB1DE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pict w14:anchorId="2B5B939C">
          <v:rect id="_x0000_i1171" style="width:0;height:1.5pt" o:hrstd="t" o:hr="t" fillcolor="#a0a0a0" stroked="f"/>
        </w:pict>
      </w:r>
    </w:p>
    <w:p w14:paraId="28F17638" w14:textId="77777777" w:rsidR="00122BB1" w:rsidRPr="00122BB1" w:rsidRDefault="00122BB1" w:rsidP="00122B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22BB1">
        <w:rPr>
          <w:rFonts w:ascii="Arial" w:hAnsi="Arial" w:cs="Arial"/>
          <w:b/>
          <w:bCs/>
          <w:sz w:val="24"/>
          <w:szCs w:val="24"/>
        </w:rPr>
        <w:t>Tecnologias de suporte: da virtualização à orquestração</w:t>
      </w:r>
    </w:p>
    <w:p w14:paraId="525111FE" w14:textId="77777777" w:rsidR="00122BB1" w:rsidRPr="00122BB1" w:rsidRDefault="00122BB1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2BB1">
        <w:rPr>
          <w:rFonts w:ascii="Arial" w:hAnsi="Arial" w:cs="Arial"/>
          <w:sz w:val="24"/>
          <w:szCs w:val="24"/>
        </w:rPr>
        <w:t xml:space="preserve">A aplicação prática dos estilos arquiteturais só se torna viável quando apoiada por uma infraestrutura capaz de sustentar o sistema. No âmbito de cloud privada, tecnologias como </w:t>
      </w:r>
      <w:proofErr w:type="spellStart"/>
      <w:r w:rsidRPr="00122BB1">
        <w:rPr>
          <w:rFonts w:ascii="Arial" w:hAnsi="Arial" w:cs="Arial"/>
          <w:b/>
          <w:bCs/>
          <w:sz w:val="24"/>
          <w:szCs w:val="24"/>
        </w:rPr>
        <w:t>Proxmox</w:t>
      </w:r>
      <w:proofErr w:type="spellEnd"/>
      <w:r w:rsidRPr="00122BB1">
        <w:rPr>
          <w:rFonts w:ascii="Arial" w:hAnsi="Arial" w:cs="Arial"/>
          <w:sz w:val="24"/>
          <w:szCs w:val="24"/>
        </w:rPr>
        <w:t xml:space="preserve"> permitem a criação e gestão de máquinas virtuais (</w:t>
      </w:r>
      <w:proofErr w:type="spellStart"/>
      <w:r w:rsidRPr="00122BB1">
        <w:rPr>
          <w:rFonts w:ascii="Arial" w:hAnsi="Arial" w:cs="Arial"/>
          <w:sz w:val="24"/>
          <w:szCs w:val="24"/>
        </w:rPr>
        <w:t>VMs</w:t>
      </w:r>
      <w:proofErr w:type="spellEnd"/>
      <w:r w:rsidRPr="00122BB1">
        <w:rPr>
          <w:rFonts w:ascii="Arial" w:hAnsi="Arial" w:cs="Arial"/>
          <w:sz w:val="24"/>
          <w:szCs w:val="24"/>
        </w:rPr>
        <w:t xml:space="preserve">) e containers LXC em clusters empresariais. Em cenários de maior escala, o </w:t>
      </w:r>
      <w:proofErr w:type="spellStart"/>
      <w:r w:rsidRPr="00122BB1">
        <w:rPr>
          <w:rFonts w:ascii="Arial" w:hAnsi="Arial" w:cs="Arial"/>
          <w:b/>
          <w:bCs/>
          <w:sz w:val="24"/>
          <w:szCs w:val="24"/>
        </w:rPr>
        <w:t>OpenStack</w:t>
      </w:r>
      <w:proofErr w:type="spellEnd"/>
      <w:r w:rsidRPr="00122BB1">
        <w:rPr>
          <w:rFonts w:ascii="Arial" w:hAnsi="Arial" w:cs="Arial"/>
          <w:sz w:val="24"/>
          <w:szCs w:val="24"/>
        </w:rPr>
        <w:t xml:space="preserve"> oferece uma plataforma completa de cloud privada, equivalente a uma “AWS particular”, com módulos para computação (Nova), rede (</w:t>
      </w:r>
      <w:proofErr w:type="spellStart"/>
      <w:r w:rsidRPr="00122BB1">
        <w:rPr>
          <w:rFonts w:ascii="Arial" w:hAnsi="Arial" w:cs="Arial"/>
          <w:sz w:val="24"/>
          <w:szCs w:val="24"/>
        </w:rPr>
        <w:t>Neutron</w:t>
      </w:r>
      <w:proofErr w:type="spellEnd"/>
      <w:r w:rsidRPr="00122BB1">
        <w:rPr>
          <w:rFonts w:ascii="Arial" w:hAnsi="Arial" w:cs="Arial"/>
          <w:sz w:val="24"/>
          <w:szCs w:val="24"/>
        </w:rPr>
        <w:t>) e armazenamento (</w:t>
      </w:r>
      <w:proofErr w:type="spellStart"/>
      <w:r w:rsidRPr="00122BB1">
        <w:rPr>
          <w:rFonts w:ascii="Arial" w:hAnsi="Arial" w:cs="Arial"/>
          <w:sz w:val="24"/>
          <w:szCs w:val="24"/>
        </w:rPr>
        <w:t>Cinder</w:t>
      </w:r>
      <w:proofErr w:type="spellEnd"/>
      <w:r w:rsidRPr="00122BB1">
        <w:rPr>
          <w:rFonts w:ascii="Arial" w:hAnsi="Arial" w:cs="Arial"/>
          <w:sz w:val="24"/>
          <w:szCs w:val="24"/>
        </w:rPr>
        <w:t>/Swift) (CORRÊA, 2025, p. 32).</w:t>
      </w:r>
    </w:p>
    <w:p w14:paraId="0B2C1A57" w14:textId="77777777" w:rsidR="00122BB1" w:rsidRPr="00122BB1" w:rsidRDefault="00122BB1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2BB1">
        <w:rPr>
          <w:rFonts w:ascii="Arial" w:hAnsi="Arial" w:cs="Arial"/>
          <w:sz w:val="24"/>
          <w:szCs w:val="24"/>
        </w:rPr>
        <w:t xml:space="preserve">Os </w:t>
      </w:r>
      <w:r w:rsidRPr="00122BB1">
        <w:rPr>
          <w:rFonts w:ascii="Arial" w:hAnsi="Arial" w:cs="Arial"/>
          <w:b/>
          <w:bCs/>
          <w:sz w:val="24"/>
          <w:szCs w:val="24"/>
        </w:rPr>
        <w:t>containers LXC (Linux Containers)</w:t>
      </w:r>
      <w:r w:rsidRPr="00122BB1">
        <w:rPr>
          <w:rFonts w:ascii="Arial" w:hAnsi="Arial" w:cs="Arial"/>
          <w:sz w:val="24"/>
          <w:szCs w:val="24"/>
        </w:rPr>
        <w:t xml:space="preserve"> representam uma forma de virtualização em nível de sistema operacional. Diferente das máquinas virtuais tradicionais, que necessitam de um sistema operacional completo emulado, os containers LXC compartilham o mesmo kernel Linux, isolando apenas processos, usuários e recursos. Essa abordagem reduz significativamente o consumo de CPU e memória, sendo apropriada para serviços de apoio, aplicações leves e ambientes de testes, especialmente quando executados em clusters, ou seja, em agrupamentos de servidores que trabalham de forma conjunta e coordenada (MARTIN; MARTIN, 2011, p. 87).</w:t>
      </w:r>
    </w:p>
    <w:p w14:paraId="35FB1FA6" w14:textId="77777777" w:rsidR="00122BB1" w:rsidRPr="00122BB1" w:rsidRDefault="00122BB1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2BB1">
        <w:rPr>
          <w:rFonts w:ascii="Arial" w:hAnsi="Arial" w:cs="Arial"/>
          <w:sz w:val="24"/>
          <w:szCs w:val="24"/>
        </w:rPr>
        <w:lastRenderedPageBreak/>
        <w:t xml:space="preserve">Já no caso do </w:t>
      </w:r>
      <w:proofErr w:type="spellStart"/>
      <w:r w:rsidRPr="00122BB1">
        <w:rPr>
          <w:rFonts w:ascii="Arial" w:hAnsi="Arial" w:cs="Arial"/>
          <w:b/>
          <w:bCs/>
          <w:sz w:val="24"/>
          <w:szCs w:val="24"/>
        </w:rPr>
        <w:t>OpenStack</w:t>
      </w:r>
      <w:proofErr w:type="spellEnd"/>
      <w:r w:rsidRPr="00122BB1">
        <w:rPr>
          <w:rFonts w:ascii="Arial" w:hAnsi="Arial" w:cs="Arial"/>
          <w:sz w:val="24"/>
          <w:szCs w:val="24"/>
        </w:rPr>
        <w:t xml:space="preserve">, cada serviço é responsável por uma função específica dentro da nuvem privada: o </w:t>
      </w:r>
      <w:r w:rsidRPr="00122BB1">
        <w:rPr>
          <w:rFonts w:ascii="Arial" w:hAnsi="Arial" w:cs="Arial"/>
          <w:b/>
          <w:bCs/>
          <w:sz w:val="24"/>
          <w:szCs w:val="24"/>
        </w:rPr>
        <w:t>Nova</w:t>
      </w:r>
      <w:r w:rsidRPr="00122BB1">
        <w:rPr>
          <w:rFonts w:ascii="Arial" w:hAnsi="Arial" w:cs="Arial"/>
          <w:sz w:val="24"/>
          <w:szCs w:val="24"/>
        </w:rPr>
        <w:t xml:space="preserve"> é o componente de computação, encarregado de criar, executar e escalar instâncias de máquinas virtuais; o </w:t>
      </w:r>
      <w:proofErr w:type="spellStart"/>
      <w:r w:rsidRPr="00122BB1">
        <w:rPr>
          <w:rFonts w:ascii="Arial" w:hAnsi="Arial" w:cs="Arial"/>
          <w:b/>
          <w:bCs/>
          <w:sz w:val="24"/>
          <w:szCs w:val="24"/>
        </w:rPr>
        <w:t>Neutron</w:t>
      </w:r>
      <w:proofErr w:type="spellEnd"/>
      <w:r w:rsidRPr="00122BB1">
        <w:rPr>
          <w:rFonts w:ascii="Arial" w:hAnsi="Arial" w:cs="Arial"/>
          <w:sz w:val="24"/>
          <w:szCs w:val="24"/>
        </w:rPr>
        <w:t xml:space="preserve"> atua como serviço de rede, permitindo a criação de redes virtuais, </w:t>
      </w:r>
      <w:proofErr w:type="spellStart"/>
      <w:r w:rsidRPr="00122BB1">
        <w:rPr>
          <w:rFonts w:ascii="Arial" w:hAnsi="Arial" w:cs="Arial"/>
          <w:sz w:val="24"/>
          <w:szCs w:val="24"/>
        </w:rPr>
        <w:t>sub-redes</w:t>
      </w:r>
      <w:proofErr w:type="spellEnd"/>
      <w:r w:rsidRPr="00122BB1">
        <w:rPr>
          <w:rFonts w:ascii="Arial" w:hAnsi="Arial" w:cs="Arial"/>
          <w:sz w:val="24"/>
          <w:szCs w:val="24"/>
        </w:rPr>
        <w:t xml:space="preserve"> e roteadores lógicos, fundamentais para a segmentação e segurança do tráfego; o </w:t>
      </w:r>
      <w:proofErr w:type="spellStart"/>
      <w:r w:rsidRPr="00122BB1">
        <w:rPr>
          <w:rFonts w:ascii="Arial" w:hAnsi="Arial" w:cs="Arial"/>
          <w:b/>
          <w:bCs/>
          <w:sz w:val="24"/>
          <w:szCs w:val="24"/>
        </w:rPr>
        <w:t>Cinder</w:t>
      </w:r>
      <w:proofErr w:type="spellEnd"/>
      <w:r w:rsidRPr="00122BB1">
        <w:rPr>
          <w:rFonts w:ascii="Arial" w:hAnsi="Arial" w:cs="Arial"/>
          <w:sz w:val="24"/>
          <w:szCs w:val="24"/>
        </w:rPr>
        <w:t xml:space="preserve"> fornece volumes de armazenamento em blocos, anexados às instâncias de forma semelhante a discos rígidos virtuais, garantindo persistência de dados; e o </w:t>
      </w:r>
      <w:r w:rsidRPr="00122BB1">
        <w:rPr>
          <w:rFonts w:ascii="Arial" w:hAnsi="Arial" w:cs="Arial"/>
          <w:b/>
          <w:bCs/>
          <w:sz w:val="24"/>
          <w:szCs w:val="24"/>
        </w:rPr>
        <w:t>Swift</w:t>
      </w:r>
      <w:r w:rsidRPr="00122BB1">
        <w:rPr>
          <w:rFonts w:ascii="Arial" w:hAnsi="Arial" w:cs="Arial"/>
          <w:sz w:val="24"/>
          <w:szCs w:val="24"/>
        </w:rPr>
        <w:t xml:space="preserve"> é o serviço de armazenamento de objetos, adequado para dados não estruturados, como imagens, documentos ou vídeos, oferecendo alta disponibilidade e escalabilidade (MATOS; BARBOSA, 2016, p. 45).</w:t>
      </w:r>
    </w:p>
    <w:p w14:paraId="7DF9E4F0" w14:textId="77777777" w:rsidR="00122BB1" w:rsidRPr="00122BB1" w:rsidRDefault="00122BB1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2BB1">
        <w:rPr>
          <w:rFonts w:ascii="Arial" w:hAnsi="Arial" w:cs="Arial"/>
          <w:sz w:val="24"/>
          <w:szCs w:val="24"/>
        </w:rPr>
        <w:t xml:space="preserve">Sobre essa base, o </w:t>
      </w:r>
      <w:proofErr w:type="spellStart"/>
      <w:r w:rsidRPr="00122BB1">
        <w:rPr>
          <w:rFonts w:ascii="Arial" w:hAnsi="Arial" w:cs="Arial"/>
          <w:b/>
          <w:bCs/>
          <w:sz w:val="24"/>
          <w:szCs w:val="24"/>
        </w:rPr>
        <w:t>Kubernetes</w:t>
      </w:r>
      <w:proofErr w:type="spellEnd"/>
      <w:r w:rsidRPr="00122BB1">
        <w:rPr>
          <w:rFonts w:ascii="Arial" w:hAnsi="Arial" w:cs="Arial"/>
          <w:sz w:val="24"/>
          <w:szCs w:val="24"/>
        </w:rPr>
        <w:t xml:space="preserve"> consolidou-se como padrão de mercado para orquestração de containers, automatizando a distribuição, escalonamento e resiliência de aplicações. Complementando, o </w:t>
      </w:r>
      <w:r w:rsidRPr="00122BB1">
        <w:rPr>
          <w:rFonts w:ascii="Arial" w:hAnsi="Arial" w:cs="Arial"/>
          <w:b/>
          <w:bCs/>
          <w:sz w:val="24"/>
          <w:szCs w:val="24"/>
        </w:rPr>
        <w:t>Docker</w:t>
      </w:r>
      <w:r w:rsidRPr="00122BB1">
        <w:rPr>
          <w:rFonts w:ascii="Arial" w:hAnsi="Arial" w:cs="Arial"/>
          <w:sz w:val="24"/>
          <w:szCs w:val="24"/>
        </w:rPr>
        <w:t xml:space="preserve"> é a tecnologia que cria os containers, encapsulando aplicações e suas dependências em unidades portáteis. Assim, a pilha tecnológica moderna pode ser descrita em camadas:</w:t>
      </w:r>
    </w:p>
    <w:p w14:paraId="76D0CFE2" w14:textId="77777777" w:rsidR="00122BB1" w:rsidRPr="00122BB1" w:rsidRDefault="00122BB1" w:rsidP="00122BB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2BB1">
        <w:rPr>
          <w:rFonts w:ascii="Arial" w:hAnsi="Arial" w:cs="Arial"/>
          <w:b/>
          <w:bCs/>
          <w:sz w:val="24"/>
          <w:szCs w:val="24"/>
        </w:rPr>
        <w:t>Hardware físico →</w:t>
      </w:r>
      <w:r w:rsidRPr="00122BB1">
        <w:rPr>
          <w:rFonts w:ascii="Arial" w:hAnsi="Arial" w:cs="Arial"/>
          <w:sz w:val="24"/>
          <w:szCs w:val="24"/>
        </w:rPr>
        <w:t xml:space="preserve"> servidores, rede, </w:t>
      </w:r>
      <w:proofErr w:type="spellStart"/>
      <w:r w:rsidRPr="00122BB1">
        <w:rPr>
          <w:rFonts w:ascii="Arial" w:hAnsi="Arial" w:cs="Arial"/>
          <w:sz w:val="24"/>
          <w:szCs w:val="24"/>
        </w:rPr>
        <w:t>storage</w:t>
      </w:r>
      <w:proofErr w:type="spellEnd"/>
      <w:r w:rsidRPr="00122BB1">
        <w:rPr>
          <w:rFonts w:ascii="Arial" w:hAnsi="Arial" w:cs="Arial"/>
          <w:sz w:val="24"/>
          <w:szCs w:val="24"/>
        </w:rPr>
        <w:t>.</w:t>
      </w:r>
    </w:p>
    <w:p w14:paraId="43C40551" w14:textId="77777777" w:rsidR="00122BB1" w:rsidRPr="00122BB1" w:rsidRDefault="00122BB1" w:rsidP="00122BB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2BB1">
        <w:rPr>
          <w:rFonts w:ascii="Arial" w:hAnsi="Arial" w:cs="Arial"/>
          <w:b/>
          <w:bCs/>
          <w:sz w:val="24"/>
          <w:szCs w:val="24"/>
        </w:rPr>
        <w:t>Virtualização →</w:t>
      </w:r>
      <w:r w:rsidRPr="00122B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2BB1">
        <w:rPr>
          <w:rFonts w:ascii="Arial" w:hAnsi="Arial" w:cs="Arial"/>
          <w:sz w:val="24"/>
          <w:szCs w:val="24"/>
        </w:rPr>
        <w:t>Proxmox</w:t>
      </w:r>
      <w:proofErr w:type="spellEnd"/>
      <w:r w:rsidRPr="00122BB1">
        <w:rPr>
          <w:rFonts w:ascii="Arial" w:hAnsi="Arial" w:cs="Arial"/>
          <w:sz w:val="24"/>
          <w:szCs w:val="24"/>
        </w:rPr>
        <w:t>/</w:t>
      </w:r>
      <w:proofErr w:type="spellStart"/>
      <w:r w:rsidRPr="00122BB1">
        <w:rPr>
          <w:rFonts w:ascii="Arial" w:hAnsi="Arial" w:cs="Arial"/>
          <w:sz w:val="24"/>
          <w:szCs w:val="24"/>
        </w:rPr>
        <w:t>OpenStack</w:t>
      </w:r>
      <w:proofErr w:type="spellEnd"/>
      <w:r w:rsidRPr="00122BB1">
        <w:rPr>
          <w:rFonts w:ascii="Arial" w:hAnsi="Arial" w:cs="Arial"/>
          <w:sz w:val="24"/>
          <w:szCs w:val="24"/>
        </w:rPr>
        <w:t>.</w:t>
      </w:r>
    </w:p>
    <w:p w14:paraId="520CC3C6" w14:textId="77777777" w:rsidR="00122BB1" w:rsidRPr="00122BB1" w:rsidRDefault="00122BB1" w:rsidP="00122BB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2BB1">
        <w:rPr>
          <w:rFonts w:ascii="Arial" w:hAnsi="Arial" w:cs="Arial"/>
          <w:b/>
          <w:bCs/>
          <w:sz w:val="24"/>
          <w:szCs w:val="24"/>
        </w:rPr>
        <w:t>Orquestração de containers →</w:t>
      </w:r>
      <w:r w:rsidRPr="00122B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2BB1">
        <w:rPr>
          <w:rFonts w:ascii="Arial" w:hAnsi="Arial" w:cs="Arial"/>
          <w:sz w:val="24"/>
          <w:szCs w:val="24"/>
        </w:rPr>
        <w:t>Kubernetes</w:t>
      </w:r>
      <w:proofErr w:type="spellEnd"/>
      <w:r w:rsidRPr="00122BB1">
        <w:rPr>
          <w:rFonts w:ascii="Arial" w:hAnsi="Arial" w:cs="Arial"/>
          <w:sz w:val="24"/>
          <w:szCs w:val="24"/>
        </w:rPr>
        <w:t>.</w:t>
      </w:r>
    </w:p>
    <w:p w14:paraId="4EBF6A7B" w14:textId="77777777" w:rsidR="00122BB1" w:rsidRPr="00122BB1" w:rsidRDefault="00122BB1" w:rsidP="00122BB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22BB1">
        <w:rPr>
          <w:rFonts w:ascii="Arial" w:hAnsi="Arial" w:cs="Arial"/>
          <w:b/>
          <w:bCs/>
          <w:sz w:val="24"/>
          <w:szCs w:val="24"/>
        </w:rPr>
        <w:t>Runtime</w:t>
      </w:r>
      <w:proofErr w:type="spellEnd"/>
      <w:r w:rsidRPr="00122BB1">
        <w:rPr>
          <w:rFonts w:ascii="Arial" w:hAnsi="Arial" w:cs="Arial"/>
          <w:b/>
          <w:bCs/>
          <w:sz w:val="24"/>
          <w:szCs w:val="24"/>
        </w:rPr>
        <w:t xml:space="preserve"> de containers →</w:t>
      </w:r>
      <w:r w:rsidRPr="00122BB1">
        <w:rPr>
          <w:rFonts w:ascii="Arial" w:hAnsi="Arial" w:cs="Arial"/>
          <w:sz w:val="24"/>
          <w:szCs w:val="24"/>
        </w:rPr>
        <w:t xml:space="preserve"> Docker ou </w:t>
      </w:r>
      <w:proofErr w:type="spellStart"/>
      <w:r w:rsidRPr="00122BB1">
        <w:rPr>
          <w:rFonts w:ascii="Arial" w:hAnsi="Arial" w:cs="Arial"/>
          <w:sz w:val="24"/>
          <w:szCs w:val="24"/>
        </w:rPr>
        <w:t>containerd</w:t>
      </w:r>
      <w:proofErr w:type="spellEnd"/>
      <w:r w:rsidRPr="00122BB1">
        <w:rPr>
          <w:rFonts w:ascii="Arial" w:hAnsi="Arial" w:cs="Arial"/>
          <w:sz w:val="24"/>
          <w:szCs w:val="24"/>
        </w:rPr>
        <w:t>.</w:t>
      </w:r>
    </w:p>
    <w:p w14:paraId="2064CB93" w14:textId="77777777" w:rsidR="00122BB1" w:rsidRPr="00122BB1" w:rsidRDefault="00122BB1" w:rsidP="00122BB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2BB1">
        <w:rPr>
          <w:rFonts w:ascii="Arial" w:hAnsi="Arial" w:cs="Arial"/>
          <w:b/>
          <w:bCs/>
          <w:sz w:val="24"/>
          <w:szCs w:val="24"/>
        </w:rPr>
        <w:t>Aplicações →</w:t>
      </w:r>
      <w:r w:rsidRPr="00122BB1">
        <w:rPr>
          <w:rFonts w:ascii="Arial" w:hAnsi="Arial" w:cs="Arial"/>
          <w:sz w:val="24"/>
          <w:szCs w:val="24"/>
        </w:rPr>
        <w:t xml:space="preserve"> monólito, modular ou </w:t>
      </w:r>
      <w:proofErr w:type="spellStart"/>
      <w:r w:rsidRPr="00122BB1">
        <w:rPr>
          <w:rFonts w:ascii="Arial" w:hAnsi="Arial" w:cs="Arial"/>
          <w:sz w:val="24"/>
          <w:szCs w:val="24"/>
        </w:rPr>
        <w:t>microsserviços</w:t>
      </w:r>
      <w:proofErr w:type="spellEnd"/>
      <w:r w:rsidRPr="00122BB1">
        <w:rPr>
          <w:rFonts w:ascii="Arial" w:hAnsi="Arial" w:cs="Arial"/>
          <w:sz w:val="24"/>
          <w:szCs w:val="24"/>
        </w:rPr>
        <w:t>.</w:t>
      </w:r>
    </w:p>
    <w:p w14:paraId="55E2868A" w14:textId="77777777" w:rsidR="00122BB1" w:rsidRPr="00122BB1" w:rsidRDefault="00122BB1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2BB1">
        <w:rPr>
          <w:rFonts w:ascii="Arial" w:hAnsi="Arial" w:cs="Arial"/>
          <w:sz w:val="24"/>
          <w:szCs w:val="24"/>
        </w:rPr>
        <w:t>Esse ecossistema conecta os conceitos arquiteturais com a infraestrutura necessária para sustentá-los, evidenciando que arquitetura de software e arquitetura de sistemas estão profundamente interligadas.</w:t>
      </w:r>
    </w:p>
    <w:p w14:paraId="22DD535A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pict w14:anchorId="733A9226">
          <v:rect id="_x0000_i1172" style="width:0;height:1.5pt" o:hrstd="t" o:hr="t" fillcolor="#a0a0a0" stroked="f"/>
        </w:pict>
      </w:r>
    </w:p>
    <w:p w14:paraId="1FD373A5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F5BE7">
        <w:rPr>
          <w:rFonts w:ascii="Arial" w:hAnsi="Arial" w:cs="Arial"/>
          <w:b/>
          <w:bCs/>
          <w:sz w:val="24"/>
          <w:szCs w:val="24"/>
        </w:rPr>
        <w:t>Estudo de caso: e-commerce em larga escala</w:t>
      </w:r>
    </w:p>
    <w:p w14:paraId="0E085384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Para um sistema de </w:t>
      </w:r>
      <w:r w:rsidRPr="00DF5BE7">
        <w:rPr>
          <w:rFonts w:ascii="Arial" w:hAnsi="Arial" w:cs="Arial"/>
          <w:b/>
          <w:bCs/>
          <w:sz w:val="24"/>
          <w:szCs w:val="24"/>
        </w:rPr>
        <w:t>e-commerce</w:t>
      </w:r>
      <w:r w:rsidRPr="00DF5BE7">
        <w:rPr>
          <w:rFonts w:ascii="Arial" w:hAnsi="Arial" w:cs="Arial"/>
          <w:sz w:val="24"/>
          <w:szCs w:val="24"/>
        </w:rPr>
        <w:t xml:space="preserve"> que deve suportar milhões de usuários simultâneos e operar com alta disponibilidade, a arquitetura de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microsserviços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 se mostra a mais adequada. Ao decompor o sistema em domínios independentes — como catálogo, carrinho, pedidos e pagamentos —, é possível escalar individualmente apenas os módulos mais demandados. Além disso, a </w:t>
      </w:r>
      <w:r w:rsidRPr="00DF5BE7">
        <w:rPr>
          <w:rFonts w:ascii="Arial" w:hAnsi="Arial" w:cs="Arial"/>
          <w:sz w:val="24"/>
          <w:szCs w:val="24"/>
        </w:rPr>
        <w:lastRenderedPageBreak/>
        <w:t>utilização de mensageria e eventos desacopla fluxos críticos, como a confirmação de pedidos e o processamento de pagamentos.</w:t>
      </w:r>
    </w:p>
    <w:p w14:paraId="7078A8DF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No nível de infraestrutura, tal solução pode ser implementada em um cluster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Kubernetes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 hospedado em uma nuvem privada gerenciada por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OpenStack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, garantindo elasticidade e isolamento de falhas. O </w:t>
      </w:r>
      <w:r w:rsidRPr="00DF5BE7">
        <w:rPr>
          <w:rFonts w:ascii="Arial" w:hAnsi="Arial" w:cs="Arial"/>
          <w:b/>
          <w:bCs/>
          <w:sz w:val="24"/>
          <w:szCs w:val="24"/>
        </w:rPr>
        <w:t>Proxy</w:t>
      </w:r>
      <w:r w:rsidRPr="00DF5BE7">
        <w:rPr>
          <w:rFonts w:ascii="Arial" w:hAnsi="Arial" w:cs="Arial"/>
          <w:sz w:val="24"/>
          <w:szCs w:val="24"/>
        </w:rPr>
        <w:t xml:space="preserve"> (padrão </w:t>
      </w:r>
      <w:proofErr w:type="spellStart"/>
      <w:r w:rsidRPr="00DF5BE7">
        <w:rPr>
          <w:rFonts w:ascii="Arial" w:hAnsi="Arial" w:cs="Arial"/>
          <w:sz w:val="24"/>
          <w:szCs w:val="24"/>
        </w:rPr>
        <w:t>GoF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) pode ser aplicado no controle de acesso a recursos críticos, enquanto o princípio </w:t>
      </w:r>
      <w:r w:rsidRPr="00DF5BE7">
        <w:rPr>
          <w:rFonts w:ascii="Arial" w:hAnsi="Arial" w:cs="Arial"/>
          <w:b/>
          <w:bCs/>
          <w:sz w:val="24"/>
          <w:szCs w:val="24"/>
        </w:rPr>
        <w:t>DIP (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Dependency</w:t>
      </w:r>
      <w:proofErr w:type="spellEnd"/>
      <w:r w:rsidRPr="00DF5BE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Inversion</w:t>
      </w:r>
      <w:proofErr w:type="spellEnd"/>
      <w:r w:rsidRPr="00DF5BE7">
        <w:rPr>
          <w:rFonts w:ascii="Arial" w:hAnsi="Arial" w:cs="Arial"/>
          <w:b/>
          <w:bCs/>
          <w:sz w:val="24"/>
          <w:szCs w:val="24"/>
        </w:rPr>
        <w:t>)</w:t>
      </w:r>
      <w:r w:rsidRPr="00DF5BE7">
        <w:rPr>
          <w:rFonts w:ascii="Arial" w:hAnsi="Arial" w:cs="Arial"/>
          <w:sz w:val="24"/>
          <w:szCs w:val="24"/>
        </w:rPr>
        <w:t xml:space="preserve"> assegura que módulos de alto nível não dependam diretamente de detalhes de implementação (CAMPOMORI, 2017).</w:t>
      </w:r>
    </w:p>
    <w:p w14:paraId="5FF35C82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>Essa combinação de práticas arquiteturais, padrões e princípios oferece não apenas escalabilidade técnica, mas também resiliência organizacional, permitindo que diferentes equipes evoluam serviços de forma independente, sem comprometer a integridade do todo.</w:t>
      </w:r>
    </w:p>
    <w:p w14:paraId="1630DDD7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pict w14:anchorId="2905AAC6">
          <v:rect id="_x0000_i1173" style="width:0;height:1.5pt" o:hrstd="t" o:hr="t" fillcolor="#a0a0a0" stroked="f"/>
        </w:pict>
      </w:r>
    </w:p>
    <w:p w14:paraId="6BBB492F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F5BE7">
        <w:rPr>
          <w:rFonts w:ascii="Arial" w:hAnsi="Arial" w:cs="Arial"/>
          <w:b/>
          <w:bCs/>
          <w:sz w:val="24"/>
          <w:szCs w:val="24"/>
        </w:rPr>
        <w:t>Considerações finais</w:t>
      </w:r>
    </w:p>
    <w:p w14:paraId="0AF3863D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A evolução das arquiteturas de software, do monólito aos </w:t>
      </w:r>
      <w:proofErr w:type="spellStart"/>
      <w:r w:rsidRPr="00DF5BE7">
        <w:rPr>
          <w:rFonts w:ascii="Arial" w:hAnsi="Arial" w:cs="Arial"/>
          <w:sz w:val="24"/>
          <w:szCs w:val="24"/>
        </w:rPr>
        <w:t>microsserviços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, reflete a transformação da própria computação, do mainframe centralizado aos sistemas distribuídos em nuvem. Uma boa arquitetura deve equilibrar simplicidade e capacidade de evolução, aplicando princípios como </w:t>
      </w:r>
      <w:r w:rsidRPr="00DF5BE7">
        <w:rPr>
          <w:rFonts w:ascii="Arial" w:hAnsi="Arial" w:cs="Arial"/>
          <w:b/>
          <w:bCs/>
          <w:sz w:val="24"/>
          <w:szCs w:val="24"/>
        </w:rPr>
        <w:t>SOLID</w:t>
      </w:r>
      <w:r w:rsidRPr="00DF5BE7">
        <w:rPr>
          <w:rFonts w:ascii="Arial" w:hAnsi="Arial" w:cs="Arial"/>
          <w:sz w:val="24"/>
          <w:szCs w:val="24"/>
        </w:rPr>
        <w:t xml:space="preserve"> e padrões como </w:t>
      </w:r>
      <w:proofErr w:type="spellStart"/>
      <w:r w:rsidRPr="00DF5BE7">
        <w:rPr>
          <w:rFonts w:ascii="Arial" w:hAnsi="Arial" w:cs="Arial"/>
          <w:b/>
          <w:bCs/>
          <w:sz w:val="24"/>
          <w:szCs w:val="24"/>
        </w:rPr>
        <w:t>GoF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 para reduzir acoplamento e aumentar coesão.</w:t>
      </w:r>
    </w:p>
    <w:p w14:paraId="3B7196DF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 xml:space="preserve">Em contextos de alta escala, como sistemas de e-commerce, a adoção de </w:t>
      </w:r>
      <w:proofErr w:type="spellStart"/>
      <w:r w:rsidRPr="00DF5BE7">
        <w:rPr>
          <w:rFonts w:ascii="Arial" w:hAnsi="Arial" w:cs="Arial"/>
          <w:sz w:val="24"/>
          <w:szCs w:val="24"/>
        </w:rPr>
        <w:t>microsserviços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 sobre plataformas de virtualização e orquestração (</w:t>
      </w:r>
      <w:proofErr w:type="spellStart"/>
      <w:r w:rsidRPr="00DF5BE7">
        <w:rPr>
          <w:rFonts w:ascii="Arial" w:hAnsi="Arial" w:cs="Arial"/>
          <w:sz w:val="24"/>
          <w:szCs w:val="24"/>
        </w:rPr>
        <w:t>Proxmox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5BE7">
        <w:rPr>
          <w:rFonts w:ascii="Arial" w:hAnsi="Arial" w:cs="Arial"/>
          <w:sz w:val="24"/>
          <w:szCs w:val="24"/>
        </w:rPr>
        <w:t>OpenStack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5BE7">
        <w:rPr>
          <w:rFonts w:ascii="Arial" w:hAnsi="Arial" w:cs="Arial"/>
          <w:sz w:val="24"/>
          <w:szCs w:val="24"/>
        </w:rPr>
        <w:t>Kubernetes</w:t>
      </w:r>
      <w:proofErr w:type="spellEnd"/>
      <w:r w:rsidRPr="00DF5BE7">
        <w:rPr>
          <w:rFonts w:ascii="Arial" w:hAnsi="Arial" w:cs="Arial"/>
          <w:sz w:val="24"/>
          <w:szCs w:val="24"/>
        </w:rPr>
        <w:t xml:space="preserve"> e Docker) oferece o suporte necessário para lidar com milhões de usuários e garantir disponibilidade. Contudo, não existe uma solução universal: a escolha deve sempre considerar o estágio do projeto, a maturidade da equipe e os requisitos de negócio.</w:t>
      </w:r>
    </w:p>
    <w:p w14:paraId="0FB5B225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t>Assim, arquitetura de software não é apenas uma decisão inicial, mas uma prática contínua de engenharia, que deve unir conceitos teóricos, padrões de projeto e infraestrutura tecnológica para garantir o sucesso de sistemas modernos.</w:t>
      </w:r>
    </w:p>
    <w:p w14:paraId="487FF3B5" w14:textId="77777777" w:rsidR="00DF5BE7" w:rsidRPr="00DF5BE7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BE7">
        <w:rPr>
          <w:rFonts w:ascii="Arial" w:hAnsi="Arial" w:cs="Arial"/>
          <w:sz w:val="24"/>
          <w:szCs w:val="24"/>
        </w:rPr>
        <w:pict w14:anchorId="59754838">
          <v:rect id="_x0000_i1174" style="width:0;height:1.5pt" o:hrstd="t" o:hr="t" fillcolor="#a0a0a0" stroked="f"/>
        </w:pict>
      </w:r>
    </w:p>
    <w:p w14:paraId="411FB17B" w14:textId="77777777" w:rsidR="00DF5BE7" w:rsidRPr="00DF5BE7" w:rsidRDefault="00DF5BE7" w:rsidP="00122BB1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F5B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Referências</w:t>
      </w:r>
    </w:p>
    <w:p w14:paraId="77E8A57B" w14:textId="77777777" w:rsidR="00DF5BE7" w:rsidRPr="00DF5BE7" w:rsidRDefault="00DF5BE7" w:rsidP="00122BB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F5BE7">
        <w:rPr>
          <w:rFonts w:ascii="Arial" w:eastAsia="Times New Roman" w:hAnsi="Arial" w:cs="Arial"/>
          <w:sz w:val="24"/>
          <w:szCs w:val="24"/>
          <w:lang w:eastAsia="pt-BR"/>
        </w:rPr>
        <w:t xml:space="preserve">ANICHE, Maurício. </w:t>
      </w:r>
      <w:r w:rsidRPr="00DF5BE7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Orientação a Objetos e SOLID para Ninjas: Projetando classes flexíveis</w:t>
      </w:r>
      <w:r w:rsidRPr="00DF5BE7">
        <w:rPr>
          <w:rFonts w:ascii="Arial" w:eastAsia="Times New Roman" w:hAnsi="Arial" w:cs="Arial"/>
          <w:sz w:val="24"/>
          <w:szCs w:val="24"/>
          <w:lang w:eastAsia="pt-BR"/>
        </w:rPr>
        <w:t>. São Paulo: Casa do Código, 2015.</w:t>
      </w:r>
    </w:p>
    <w:p w14:paraId="38CD9586" w14:textId="686C9827" w:rsidR="00DF5BE7" w:rsidRPr="00BF684D" w:rsidRDefault="00BF684D" w:rsidP="00122BB1">
      <w:pPr>
        <w:pStyle w:val="NormalWeb"/>
        <w:spacing w:line="360" w:lineRule="auto"/>
        <w:jc w:val="both"/>
        <w:rPr>
          <w:rFonts w:ascii="Arial" w:hAnsi="Arial" w:cs="Arial"/>
        </w:rPr>
      </w:pPr>
      <w:r w:rsidRPr="00BF684D">
        <w:rPr>
          <w:rFonts w:ascii="Arial" w:hAnsi="Arial" w:cs="Arial"/>
        </w:rPr>
        <w:t xml:space="preserve">CAMPOMORI, Cleber. </w:t>
      </w:r>
      <w:r w:rsidRPr="00BF684D">
        <w:rPr>
          <w:rStyle w:val="nfase"/>
          <w:rFonts w:ascii="Arial" w:hAnsi="Arial" w:cs="Arial"/>
        </w:rPr>
        <w:t>Introdução aos Princípios SOLID</w:t>
      </w:r>
      <w:r w:rsidRPr="00BF684D">
        <w:rPr>
          <w:rFonts w:ascii="Arial" w:hAnsi="Arial" w:cs="Arial"/>
        </w:rPr>
        <w:t xml:space="preserve">. [S. l.], 9 jul. 2017. Disponível em: </w:t>
      </w:r>
      <w:hyperlink r:id="rId5" w:tgtFrame="_new" w:history="1">
        <w:r w:rsidRPr="00BF684D">
          <w:rPr>
            <w:rStyle w:val="Hyperlink"/>
            <w:rFonts w:ascii="Arial" w:hAnsi="Arial" w:cs="Arial"/>
          </w:rPr>
          <w:t>https://www.treinaweb.com.br/blog/introducao-aos-principios-solid/</w:t>
        </w:r>
      </w:hyperlink>
      <w:r w:rsidR="00DF5BE7" w:rsidRPr="00BF684D">
        <w:rPr>
          <w:rFonts w:ascii="Arial" w:hAnsi="Arial" w:cs="Arial"/>
        </w:rPr>
        <w:t xml:space="preserve">CORRÊA, D. A. </w:t>
      </w:r>
      <w:r w:rsidR="00DF5BE7" w:rsidRPr="00BF684D">
        <w:rPr>
          <w:rStyle w:val="nfase"/>
          <w:rFonts w:ascii="Arial" w:hAnsi="Arial" w:cs="Arial"/>
        </w:rPr>
        <w:t>Projeto, implementação e teste de software</w:t>
      </w:r>
      <w:r w:rsidR="00DF5BE7" w:rsidRPr="00BF684D">
        <w:rPr>
          <w:rFonts w:ascii="Arial" w:hAnsi="Arial" w:cs="Arial"/>
        </w:rPr>
        <w:t xml:space="preserve">. Florianópolis: </w:t>
      </w:r>
      <w:proofErr w:type="spellStart"/>
      <w:r w:rsidR="00DF5BE7" w:rsidRPr="00BF684D">
        <w:rPr>
          <w:rFonts w:ascii="Arial" w:hAnsi="Arial" w:cs="Arial"/>
        </w:rPr>
        <w:t>Arqué</w:t>
      </w:r>
      <w:proofErr w:type="spellEnd"/>
      <w:r w:rsidR="00DF5BE7" w:rsidRPr="00BF684D">
        <w:rPr>
          <w:rFonts w:ascii="Arial" w:hAnsi="Arial" w:cs="Arial"/>
        </w:rPr>
        <w:t>, 2025.</w:t>
      </w:r>
    </w:p>
    <w:p w14:paraId="41EE1A29" w14:textId="77777777" w:rsidR="00DF5BE7" w:rsidRPr="00122BB1" w:rsidRDefault="00DF5BE7" w:rsidP="00122BB1">
      <w:pPr>
        <w:pStyle w:val="NormalWeb"/>
        <w:spacing w:line="360" w:lineRule="auto"/>
        <w:jc w:val="both"/>
        <w:rPr>
          <w:rFonts w:ascii="Arial" w:hAnsi="Arial" w:cs="Arial"/>
        </w:rPr>
      </w:pPr>
      <w:r w:rsidRPr="00122BB1">
        <w:rPr>
          <w:rFonts w:ascii="Arial" w:hAnsi="Arial" w:cs="Arial"/>
        </w:rPr>
        <w:t xml:space="preserve">GAMMA, Erich et al. </w:t>
      </w:r>
      <w:r w:rsidRPr="00122BB1">
        <w:rPr>
          <w:rStyle w:val="nfase"/>
          <w:rFonts w:ascii="Arial" w:hAnsi="Arial" w:cs="Arial"/>
        </w:rPr>
        <w:t xml:space="preserve">Design </w:t>
      </w:r>
      <w:proofErr w:type="spellStart"/>
      <w:r w:rsidRPr="00122BB1">
        <w:rPr>
          <w:rStyle w:val="nfase"/>
          <w:rFonts w:ascii="Arial" w:hAnsi="Arial" w:cs="Arial"/>
        </w:rPr>
        <w:t>Patterns</w:t>
      </w:r>
      <w:proofErr w:type="spellEnd"/>
      <w:r w:rsidRPr="00122BB1">
        <w:rPr>
          <w:rStyle w:val="nfase"/>
          <w:rFonts w:ascii="Arial" w:hAnsi="Arial" w:cs="Arial"/>
        </w:rPr>
        <w:t xml:space="preserve">: </w:t>
      </w:r>
      <w:proofErr w:type="spellStart"/>
      <w:r w:rsidRPr="00122BB1">
        <w:rPr>
          <w:rStyle w:val="nfase"/>
          <w:rFonts w:ascii="Arial" w:hAnsi="Arial" w:cs="Arial"/>
        </w:rPr>
        <w:t>Elements</w:t>
      </w:r>
      <w:proofErr w:type="spellEnd"/>
      <w:r w:rsidRPr="00122BB1">
        <w:rPr>
          <w:rStyle w:val="nfase"/>
          <w:rFonts w:ascii="Arial" w:hAnsi="Arial" w:cs="Arial"/>
        </w:rPr>
        <w:t xml:space="preserve"> </w:t>
      </w:r>
      <w:proofErr w:type="spellStart"/>
      <w:r w:rsidRPr="00122BB1">
        <w:rPr>
          <w:rStyle w:val="nfase"/>
          <w:rFonts w:ascii="Arial" w:hAnsi="Arial" w:cs="Arial"/>
        </w:rPr>
        <w:t>of</w:t>
      </w:r>
      <w:proofErr w:type="spellEnd"/>
      <w:r w:rsidRPr="00122BB1">
        <w:rPr>
          <w:rStyle w:val="nfase"/>
          <w:rFonts w:ascii="Arial" w:hAnsi="Arial" w:cs="Arial"/>
        </w:rPr>
        <w:t xml:space="preserve"> </w:t>
      </w:r>
      <w:proofErr w:type="spellStart"/>
      <w:r w:rsidRPr="00122BB1">
        <w:rPr>
          <w:rStyle w:val="nfase"/>
          <w:rFonts w:ascii="Arial" w:hAnsi="Arial" w:cs="Arial"/>
        </w:rPr>
        <w:t>Reusable</w:t>
      </w:r>
      <w:proofErr w:type="spellEnd"/>
      <w:r w:rsidRPr="00122BB1">
        <w:rPr>
          <w:rStyle w:val="nfase"/>
          <w:rFonts w:ascii="Arial" w:hAnsi="Arial" w:cs="Arial"/>
        </w:rPr>
        <w:t xml:space="preserve"> </w:t>
      </w:r>
      <w:proofErr w:type="spellStart"/>
      <w:r w:rsidRPr="00122BB1">
        <w:rPr>
          <w:rStyle w:val="nfase"/>
          <w:rFonts w:ascii="Arial" w:hAnsi="Arial" w:cs="Arial"/>
        </w:rPr>
        <w:t>Object-Oriented</w:t>
      </w:r>
      <w:proofErr w:type="spellEnd"/>
      <w:r w:rsidRPr="00122BB1">
        <w:rPr>
          <w:rStyle w:val="nfase"/>
          <w:rFonts w:ascii="Arial" w:hAnsi="Arial" w:cs="Arial"/>
        </w:rPr>
        <w:t xml:space="preserve"> Software</w:t>
      </w:r>
      <w:r w:rsidRPr="00122BB1">
        <w:rPr>
          <w:rFonts w:ascii="Arial" w:hAnsi="Arial" w:cs="Arial"/>
        </w:rPr>
        <w:t xml:space="preserve">. Londres: </w:t>
      </w:r>
      <w:proofErr w:type="spellStart"/>
      <w:r w:rsidRPr="00122BB1">
        <w:rPr>
          <w:rFonts w:ascii="Arial" w:hAnsi="Arial" w:cs="Arial"/>
        </w:rPr>
        <w:t>Addison</w:t>
      </w:r>
      <w:proofErr w:type="spellEnd"/>
      <w:r w:rsidRPr="00122BB1">
        <w:rPr>
          <w:rFonts w:ascii="Arial" w:hAnsi="Arial" w:cs="Arial"/>
        </w:rPr>
        <w:t xml:space="preserve">-Wesley </w:t>
      </w:r>
      <w:proofErr w:type="spellStart"/>
      <w:r w:rsidRPr="00122BB1">
        <w:rPr>
          <w:rFonts w:ascii="Arial" w:hAnsi="Arial" w:cs="Arial"/>
        </w:rPr>
        <w:t>Longman</w:t>
      </w:r>
      <w:proofErr w:type="spellEnd"/>
      <w:r w:rsidRPr="00122BB1">
        <w:rPr>
          <w:rFonts w:ascii="Arial" w:hAnsi="Arial" w:cs="Arial"/>
        </w:rPr>
        <w:t>, 1995.</w:t>
      </w:r>
    </w:p>
    <w:p w14:paraId="666E609F" w14:textId="77777777" w:rsidR="00DF5BE7" w:rsidRPr="00122BB1" w:rsidRDefault="00DF5BE7" w:rsidP="00122BB1">
      <w:pPr>
        <w:pStyle w:val="NormalWeb"/>
        <w:spacing w:line="360" w:lineRule="auto"/>
        <w:jc w:val="both"/>
        <w:rPr>
          <w:rFonts w:ascii="Arial" w:hAnsi="Arial" w:cs="Arial"/>
        </w:rPr>
      </w:pPr>
      <w:r w:rsidRPr="00122BB1">
        <w:rPr>
          <w:rFonts w:ascii="Arial" w:hAnsi="Arial" w:cs="Arial"/>
        </w:rPr>
        <w:t xml:space="preserve">MARTIN, Robert C. </w:t>
      </w:r>
      <w:r w:rsidRPr="00122BB1">
        <w:rPr>
          <w:rStyle w:val="nfase"/>
          <w:rFonts w:ascii="Arial" w:hAnsi="Arial" w:cs="Arial"/>
        </w:rPr>
        <w:t xml:space="preserve">Código limpo: habilidades práticas do </w:t>
      </w:r>
      <w:proofErr w:type="spellStart"/>
      <w:r w:rsidRPr="00122BB1">
        <w:rPr>
          <w:rStyle w:val="nfase"/>
          <w:rFonts w:ascii="Arial" w:hAnsi="Arial" w:cs="Arial"/>
        </w:rPr>
        <w:t>Agile</w:t>
      </w:r>
      <w:proofErr w:type="spellEnd"/>
      <w:r w:rsidRPr="00122BB1">
        <w:rPr>
          <w:rStyle w:val="nfase"/>
          <w:rFonts w:ascii="Arial" w:hAnsi="Arial" w:cs="Arial"/>
        </w:rPr>
        <w:t xml:space="preserve"> Software</w:t>
      </w:r>
      <w:r w:rsidRPr="00122BB1">
        <w:rPr>
          <w:rFonts w:ascii="Arial" w:hAnsi="Arial" w:cs="Arial"/>
        </w:rPr>
        <w:t>. Rio de Janeiro: Alta Books, 2009.</w:t>
      </w:r>
    </w:p>
    <w:p w14:paraId="337DA9C6" w14:textId="77777777" w:rsidR="00DF5BE7" w:rsidRPr="00122BB1" w:rsidRDefault="00DF5BE7" w:rsidP="00122BB1">
      <w:pPr>
        <w:pStyle w:val="NormalWeb"/>
        <w:spacing w:line="360" w:lineRule="auto"/>
        <w:jc w:val="both"/>
        <w:rPr>
          <w:rFonts w:ascii="Arial" w:hAnsi="Arial" w:cs="Arial"/>
        </w:rPr>
      </w:pPr>
      <w:r w:rsidRPr="00122BB1">
        <w:rPr>
          <w:rFonts w:ascii="Arial" w:hAnsi="Arial" w:cs="Arial"/>
        </w:rPr>
        <w:t xml:space="preserve">MARTIN, Robert C.; MARTIN, </w:t>
      </w:r>
      <w:proofErr w:type="spellStart"/>
      <w:r w:rsidRPr="00122BB1">
        <w:rPr>
          <w:rFonts w:ascii="Arial" w:hAnsi="Arial" w:cs="Arial"/>
        </w:rPr>
        <w:t>Micah</w:t>
      </w:r>
      <w:proofErr w:type="spellEnd"/>
      <w:r w:rsidRPr="00122BB1">
        <w:rPr>
          <w:rFonts w:ascii="Arial" w:hAnsi="Arial" w:cs="Arial"/>
        </w:rPr>
        <w:t xml:space="preserve">. </w:t>
      </w:r>
      <w:r w:rsidRPr="00122BB1">
        <w:rPr>
          <w:rStyle w:val="nfase"/>
          <w:rFonts w:ascii="Arial" w:hAnsi="Arial" w:cs="Arial"/>
        </w:rPr>
        <w:t>Princípios, padrões e práticas ágeis em C#</w:t>
      </w:r>
      <w:r w:rsidRPr="00122BB1">
        <w:rPr>
          <w:rFonts w:ascii="Arial" w:hAnsi="Arial" w:cs="Arial"/>
        </w:rPr>
        <w:t>. Porto Alegre: Bookman, 2011.</w:t>
      </w:r>
    </w:p>
    <w:p w14:paraId="76E6EDFD" w14:textId="77777777" w:rsidR="00DF5BE7" w:rsidRPr="00122BB1" w:rsidRDefault="00DF5BE7" w:rsidP="00122BB1">
      <w:pPr>
        <w:pStyle w:val="NormalWeb"/>
        <w:spacing w:line="360" w:lineRule="auto"/>
        <w:jc w:val="both"/>
        <w:rPr>
          <w:rFonts w:ascii="Arial" w:hAnsi="Arial" w:cs="Arial"/>
        </w:rPr>
      </w:pPr>
      <w:r w:rsidRPr="00122BB1">
        <w:rPr>
          <w:rFonts w:ascii="Arial" w:hAnsi="Arial" w:cs="Arial"/>
        </w:rPr>
        <w:t xml:space="preserve">MATOS, Claudio Costa; BARBOSA, Fernando </w:t>
      </w:r>
      <w:proofErr w:type="spellStart"/>
      <w:r w:rsidRPr="00122BB1">
        <w:rPr>
          <w:rFonts w:ascii="Arial" w:hAnsi="Arial" w:cs="Arial"/>
        </w:rPr>
        <w:t>Kauffmann</w:t>
      </w:r>
      <w:proofErr w:type="spellEnd"/>
      <w:r w:rsidRPr="00122BB1">
        <w:rPr>
          <w:rFonts w:ascii="Arial" w:hAnsi="Arial" w:cs="Arial"/>
        </w:rPr>
        <w:t xml:space="preserve">. O uso dos padrões de projeto </w:t>
      </w:r>
      <w:proofErr w:type="spellStart"/>
      <w:r w:rsidRPr="00122BB1">
        <w:rPr>
          <w:rFonts w:ascii="Arial" w:hAnsi="Arial" w:cs="Arial"/>
        </w:rPr>
        <w:t>GoF</w:t>
      </w:r>
      <w:proofErr w:type="spellEnd"/>
      <w:r w:rsidRPr="00122BB1">
        <w:rPr>
          <w:rFonts w:ascii="Arial" w:hAnsi="Arial" w:cs="Arial"/>
        </w:rPr>
        <w:t xml:space="preserve"> na análise e desenvolvimento de sistemas. </w:t>
      </w:r>
      <w:r w:rsidRPr="00122BB1">
        <w:rPr>
          <w:rStyle w:val="nfase"/>
          <w:rFonts w:ascii="Arial" w:hAnsi="Arial" w:cs="Arial"/>
        </w:rPr>
        <w:t>Revista UNILUS Ensino e Pesquisa</w:t>
      </w:r>
      <w:r w:rsidRPr="00122BB1">
        <w:rPr>
          <w:rFonts w:ascii="Arial" w:hAnsi="Arial" w:cs="Arial"/>
        </w:rPr>
        <w:t>, v. 13, n. 30, p. 41–53, jan./mar. 2016.</w:t>
      </w:r>
    </w:p>
    <w:p w14:paraId="790B1502" w14:textId="77777777" w:rsidR="00DF5BE7" w:rsidRPr="00122BB1" w:rsidRDefault="00DF5BE7" w:rsidP="00122B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DF5BE7" w:rsidRPr="00122B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7C4362"/>
    <w:multiLevelType w:val="multilevel"/>
    <w:tmpl w:val="927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F6917"/>
    <w:multiLevelType w:val="multilevel"/>
    <w:tmpl w:val="BB3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D0"/>
    <w:rsid w:val="00122BB1"/>
    <w:rsid w:val="004F610E"/>
    <w:rsid w:val="00BF684D"/>
    <w:rsid w:val="00DF5BE7"/>
    <w:rsid w:val="00E6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95D9C"/>
  <w15:chartTrackingRefBased/>
  <w15:docId w15:val="{729FD4F5-074A-4CE0-B1B1-F804DBD4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F5BE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B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F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F5B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einaweb.com.br/blog/introducao-aos-principios-solid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1712</Words>
  <Characters>9251</Characters>
  <Application>Microsoft Office Word</Application>
  <DocSecurity>0</DocSecurity>
  <Lines>77</Lines>
  <Paragraphs>21</Paragraphs>
  <ScaleCrop>false</ScaleCrop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4</cp:revision>
  <dcterms:created xsi:type="dcterms:W3CDTF">2025-08-29T11:24:00Z</dcterms:created>
  <dcterms:modified xsi:type="dcterms:W3CDTF">2025-08-29T11:45:00Z</dcterms:modified>
</cp:coreProperties>
</file>