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8B332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Introdução</w:t>
      </w:r>
    </w:p>
    <w:p w14:paraId="082F6261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O desenvolvimento de software contemporâneo exige que empresas projetem sistemas cada vez mais complexos, escaláveis e resilientes. A arquitetura de software, nesse contexto, não é apenas um conjunto de diagramas, mas a definição da estrutura de alto nível do sistema e das regras que guiarão a sua evolução ao longo do tempo. Como destaca Corrêa (2025), a escolha arquitetural impacta diretamente a escalabilidade, a manutenibilidade e o custo de evolução dos sistemas. Uma decisão equivocada nessa etapa pode levar a aplicações rígidas, difíceis de manter e de alto custo, enquanto uma arquitetura bem estruturada promove paralelismo no desenvolvimento, melhor utilização da infraestrutura e capacidade de adaptação às mudanças de negócio (CORRÊA, 2025).</w:t>
      </w:r>
    </w:p>
    <w:p w14:paraId="1CDDD538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Historicamente, arquiteturas evoluíram de monólitos executados em mainframes, altamente centralizados e verticalmente escaláveis, para sistemas distribuídos e orientados a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, baseados em escalabilidade horizontal e execução em clusters. Essa evolução se conecta à transição tecnológica: do modelo de computação centralizada em grandes mainframes ao paradigma da computação em nuvem (cloud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), em que soluções como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são empregadas para oferecer virtualização, orquestração e elasticidade (CORRÊA, 2025). Nesse percurso, princípios de engenharia como SOLID e padrões de projeto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tornaram-se fundamentais para modularidade, desacoplamento e reuso (GAMMA et al., 1995; ANICHE, 2015).</w:t>
      </w:r>
    </w:p>
    <w:p w14:paraId="05497EBE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Arquitetura de software e características essenciais</w:t>
      </w:r>
    </w:p>
    <w:p w14:paraId="6F8FF7BE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De acordo com Corrêa (2025), a arquitetura de software define a estrutura macro do sistema, como os componentes se relacionam e quais responsabilidades cabem a cada parte, servindo de base para decisões de evolução ao longo do ciclo de vida.</w:t>
      </w:r>
    </w:p>
    <w:p w14:paraId="01202120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Três características se destacam para o sucesso de um projeto:</w:t>
      </w:r>
    </w:p>
    <w:p w14:paraId="48A367B8" w14:textId="77777777" w:rsidR="006C6EFA" w:rsidRPr="006C6EFA" w:rsidRDefault="006C6EFA" w:rsidP="006C6EF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Escalabilidade: capacidade de o sistema lidar com crescimento de carga, seja verticalmente (mais recursos em um nó) ou horizontalmente (</w:t>
      </w:r>
      <w:proofErr w:type="gram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mais</w:t>
      </w:r>
      <w:proofErr w:type="gram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nós/instâncias). Em arquiteturas modernas, a escalabilidade horizontal é preferida por permitir distribuição de carga e isolamento de falhas (CORRÊA, 2025).</w:t>
      </w:r>
    </w:p>
    <w:p w14:paraId="3FCEE64C" w14:textId="77777777" w:rsidR="006C6EFA" w:rsidRPr="006C6EFA" w:rsidRDefault="006C6EFA" w:rsidP="006C6EF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Modularidade: decomposição em componentes de alta coesão e baixo acoplamento, o que facilita entendimento, testes e substituição de partes. Há relação direta com o princípio da responsabilidade única (Single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Responsibility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— SRP), que recomenda que um módulo tenha uma responsabilidade única bem definida (ANICHE, 2015).</w:t>
      </w:r>
    </w:p>
    <w:p w14:paraId="7F65B87D" w14:textId="77777777" w:rsidR="006C6EFA" w:rsidRPr="006C6EFA" w:rsidRDefault="006C6EFA" w:rsidP="006C6EF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Manutenibilidade: facilidade de modificar, estender e corrigir o sistema com risco controlado e custo reduzido. Conecta-se ao princípio aberto/fechado (Open/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Closed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— OCP), segundo o qual os artefatos devem estar abertos à extensão e fechados à modificação, preservando comportamentos já validados (MARTIN; MARTIN, 2011).</w:t>
      </w:r>
    </w:p>
    <w:p w14:paraId="7C638D2A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Característica transversal recomendável: tolerância a falhas 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(telemetria, logs, métricas e rastreamento de requisições —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tracing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 para detectar e isolar problemas rapidamente, diminuindo o tempo médio de recuperação (MTTR) e sustentando disponibilidade (CORRÊA, 2025).</w:t>
      </w:r>
    </w:p>
    <w:p w14:paraId="122B8AE8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Complementarmente, padrões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aumentam robustez arquitetural: por exemplo, Provedor intermediário (Proxy) para controle de acesso/otimização de chamadas, </w:t>
      </w:r>
      <w:proofErr w:type="gram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e Observador</w:t>
      </w:r>
      <w:proofErr w:type="gram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Observer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 para notificação assíncrona entre componentes com baixo acoplamento (GAMMA et al., 1995; MATOS; BARBOSA, 2016).</w:t>
      </w:r>
    </w:p>
    <w:p w14:paraId="2B7CA97E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Estilos arquiteturais: do monólito aos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</w:p>
    <w:p w14:paraId="687F1DFD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A arquitetura monolítica concentra interface, regras de negócio e persistência em um único artefato. A vantagem é a simplicidade de implantação e transações consistentes locais; a desvantagem é a rigidez para escalar partes específicas, exigindo replicar todo o artefato (CORRÊA, 2025).</w:t>
      </w:r>
    </w:p>
    <w:p w14:paraId="6FAE5D3B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arquitetura em camadas introduz separação entre apresentação, negócio e dados, favorecendo organização e separação de responsabilidades. Ainda assim, costuma ser implantada como bloco único, herdando limitações de escalabilidade e independência de mudanças do monólito (CORRÊA, 2025).</w:t>
      </w:r>
    </w:p>
    <w:p w14:paraId="0F3B96F9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Com o aumento de requisitos distribuídos,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decompõem o sistema em serviços independentes por domínio. Ganha-se escalabilidade granular e autonomia de equipes, mas aumenta a complexidade operacional: orquestração, mensageria (troca assíncrona de mensagens),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e desafios de consistência/latência entre serviços (CORRÊA, 2025).</w:t>
      </w:r>
    </w:p>
    <w:p w14:paraId="7C1B8FB7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Entre os extremos, o monólito modular combina simplicidade de implantação com isolamento interno de módulos, útil como etapa intermediária para evitar distribuição prematura quando o domínio ainda não está claro (MARTIN, 2009).</w:t>
      </w:r>
    </w:p>
    <w:p w14:paraId="486567B3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Comparação direta: camadas vs.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</w:p>
    <w:p w14:paraId="7548208E" w14:textId="77777777" w:rsidR="006C6EFA" w:rsidRPr="006C6EFA" w:rsidRDefault="006C6EFA" w:rsidP="006C6E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Arquitetura em camadas</w:t>
      </w:r>
    </w:p>
    <w:p w14:paraId="6B15E251" w14:textId="77777777" w:rsidR="006C6EFA" w:rsidRPr="006C6EFA" w:rsidRDefault="006C6EFA" w:rsidP="006C6EFA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Vantagem: clareza de separação lógica e simplicidade operacional/implantação única (CORRÊA, 2025).</w:t>
      </w:r>
    </w:p>
    <w:p w14:paraId="41982BA5" w14:textId="77777777" w:rsidR="006C6EFA" w:rsidRPr="006C6EFA" w:rsidRDefault="006C6EFA" w:rsidP="006C6EFA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Desvantagem: acoplamento de implantação como bloco único limita escalabilidade independente e cadência de mudanças por módulo (CORRÊA, 2025).</w:t>
      </w:r>
    </w:p>
    <w:p w14:paraId="05CF3A47" w14:textId="77777777" w:rsidR="006C6EFA" w:rsidRPr="006C6EFA" w:rsidRDefault="006C6EFA" w:rsidP="006C6E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Arquitetura de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</w:p>
    <w:p w14:paraId="79FB6764" w14:textId="77777777" w:rsidR="006C6EFA" w:rsidRPr="006C6EFA" w:rsidRDefault="006C6EFA" w:rsidP="006C6EF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Vantagem: escalabilidade granular por domínio, autonomia de equipes e possibilidade de tecnologias distintas por serviço (CORRÊA, 2025).</w:t>
      </w:r>
    </w:p>
    <w:p w14:paraId="3CBA70F9" w14:textId="77777777" w:rsidR="006C6EFA" w:rsidRPr="006C6EFA" w:rsidRDefault="006C6EFA" w:rsidP="006C6EF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Desvantagem: maior complexidade operacional (orquestração, mensageria,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, versionamento de contratos), além de lidar com consistência distribuída e latências de rede (CORRÊA, 2025).</w:t>
      </w:r>
    </w:p>
    <w:p w14:paraId="578CCDDB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Nota: o monólito modular pode ser um passo intermediário quando a organização ainda está amadurecendo domínio, cultura DevOps 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(MARTIN, 2009).</w:t>
      </w:r>
    </w:p>
    <w:p w14:paraId="4FC23CC0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Tecnologias de suporte: da virtualização à orquestração</w:t>
      </w:r>
    </w:p>
    <w:p w14:paraId="69A164B2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adoção de estilos arquiteturais requer infraestrutura adequada. Em nuvem privada,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permitem criação e gestão de máquinas virtuais e redes, enquanto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orquestra containers, automatizando distribuição, escalonamento e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autorrecuperação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. Docker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runtime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de containers) fornece o mecanismo para criar e executar containers, encapsulando aplicações e dependências (CORRÊA, 2025). No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, os módulos Nova (computação),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Neutron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(rede),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Cinder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(armazenamento em blocos) e Swift (armazenamento de objetos) compõem a base de serviços para elasticidade, isolamento e persistência (CORRÊA, 2025; MATOS; BARBOSA, 2016).</w:t>
      </w:r>
    </w:p>
    <w:p w14:paraId="6FA0DD6C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Containers representam virtualização em nível de sistema operacional, compartilhando o kernel e isolando processos/recursos, reduzindo overhead e acelerando provisionamento — úteis para serviços de apoio, aplicações leves e ambientes de teste, especialmente em clusters (CORRÊA, 2025).</w:t>
      </w:r>
    </w:p>
    <w:p w14:paraId="095B737F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Essa pilha tecnológica ilustra a interdependência entre arquitetura de software (estilos e padrões) e arquitetura de sistemas (virtualização, redes e orquestração) para entregar escalabilidade e resiliência (CORRÊA, 2025).</w:t>
      </w:r>
    </w:p>
    <w:p w14:paraId="146A7AF9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Estudo de caso: e-commerce em larga escala</w:t>
      </w:r>
    </w:p>
    <w:p w14:paraId="53FC5FE6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simultâneos e alta disponibilidade, a escolha recomendada é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, decompondo o sistema em domínios independentes — catálogo, carrinho, pedidos, pagamentos. Assim, escalam-se apenas os módulos mais demandados e reduzem-se gargalos específicos (CORRÊA, 2025). Mensageria e eventos (processamento assíncrono) desacoplam fluxos críticos, como confirmação de pedido e processamento de pagamento, aumentando resiliência a picos.</w:t>
      </w:r>
    </w:p>
    <w:p w14:paraId="13F7D24C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Na infraestrutura, um cluster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em nuvem privada com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oferece elasticidade e isolamento de falhas, com escalonamento automático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autoscaling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) e reprogramação de instâncias. Padrões como Provedor intermediário (Proxy) controlam acesso a recursos críticos, e princípios como inversão de dependência 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Dependency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Inversion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— DIP) evitam dependência direta de detalhes de implementação, facilitando testes e substituições (GAMMA et al., 1995; CAMPOMORI, 2017).</w:t>
      </w:r>
    </w:p>
    <w:p w14:paraId="254B7BFC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Para sustentar alta disponibilidade, recomenda-se redundância entre zonas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multi-zona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), verificações automáticas de saúde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checks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 — sondas que removem instâncias com falha do tráfego — e padrões de resiliência, como disjuntor lógico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), que interrompe chamadas para serviços instáveis, e novas tentativas com intervalos crescentes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), mitigando falhas parciais e intermitências de rede (CORRÊA, 2025).</w:t>
      </w:r>
    </w:p>
    <w:p w14:paraId="5BE04C3C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Considerações finais</w:t>
      </w:r>
    </w:p>
    <w:p w14:paraId="46D983E5" w14:textId="77777777" w:rsidR="006C6EFA" w:rsidRPr="006C6EFA" w:rsidRDefault="006C6EFA" w:rsidP="00A863E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A evolução das arquiteturas, do monólito aos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, acompanha a transição da computação centralizada para sistemas distribuídos em nuvem. Uma boa arquitetura equilibra simplicidade e capacidade de evolução, apoiando-se em princípios SOLID e padrões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para reduzir acoplamento e aumentar coesão (GAMMA et al., 1995; ANICHE, 2015). Em alta escala,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sobre plataformas de virtualização e orquestração (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e Docker) oferecem base técnica para lidar com milhões de usuários e garantir disponibilidade, desde que a organização esteja preparada para a complexidade operacional (CORRÊA, 2025). Não há solução universal: a decisão deve considerar estágio do projeto, maturidade da equipe e requisitos de negócio (MARTIN, 2009).</w:t>
      </w:r>
    </w:p>
    <w:p w14:paraId="21A5C9D3" w14:textId="77777777" w:rsidR="006C6EFA" w:rsidRPr="006C6EFA" w:rsidRDefault="006C6EFA" w:rsidP="006C6E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Referências</w:t>
      </w:r>
    </w:p>
    <w:p w14:paraId="19149D3E" w14:textId="3A197304" w:rsidR="004F610E" w:rsidRPr="006C6EFA" w:rsidRDefault="006C6EFA" w:rsidP="00A863E6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C6EFA">
        <w:rPr>
          <w:rFonts w:ascii="Arial" w:eastAsia="Times New Roman" w:hAnsi="Arial" w:cs="Arial"/>
          <w:sz w:val="24"/>
          <w:szCs w:val="24"/>
          <w:lang w:eastAsia="pt-BR"/>
        </w:rPr>
        <w:t>ANICHE, Maurício. Orientação a objetos e SOLID para ninjas: projetando classes flexíveis. São Paulo: Casa do Código, 2015.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CAMPOMORI, Cleber. Introdução aos Princípios SOLID. [S. l.], 9 jul. 2017. Disponível em: </w:t>
      </w:r>
      <w:hyperlink r:id="rId5" w:history="1">
        <w:r w:rsidRPr="006C6EF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https://www.treinaweb.com.br/blog/introducao-aos-principios-solid/</w:t>
        </w:r>
      </w:hyperlink>
      <w:r w:rsidRPr="006C6EFA">
        <w:rPr>
          <w:rFonts w:ascii="Arial" w:eastAsia="Times New Roman" w:hAnsi="Arial" w:cs="Arial"/>
          <w:sz w:val="24"/>
          <w:szCs w:val="24"/>
          <w:lang w:eastAsia="pt-BR"/>
        </w:rPr>
        <w:t>. Acesso em: 30 ago. 2025.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CORRÊA, D. A. Projeto, implementação e teste de software. Florianópolis: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Arqué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, 2025.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GAMMA, Erich et al. Design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reusable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object-oriented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software. Londres: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Addison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-Wesley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Longman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, 1995.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 Código limpo: habilidades práticas do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Agile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Software. Rio de Janeiro: Alta Books, 2009.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C.; MARTIN,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Micah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>. Princípios, padrões e práticas ágeis em C#. Porto Alegre: Bookman, 2011.</w:t>
      </w:r>
      <w:r w:rsidRPr="006C6EFA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MATOS, Claudio Costa; BARBOSA, Fernando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Kauffmann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. O uso dos padrões de projeto </w:t>
      </w:r>
      <w:proofErr w:type="spellStart"/>
      <w:r w:rsidRPr="006C6EFA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6C6EFA">
        <w:rPr>
          <w:rFonts w:ascii="Arial" w:eastAsia="Times New Roman" w:hAnsi="Arial" w:cs="Arial"/>
          <w:sz w:val="24"/>
          <w:szCs w:val="24"/>
          <w:lang w:eastAsia="pt-BR"/>
        </w:rPr>
        <w:t xml:space="preserve"> na análise e desenvolvimento de sistemas. Revista UNILUS Ensino e Pesquisa, v. 13, n. 30, p. 41–53, jan./mar. 2016.</w:t>
      </w:r>
    </w:p>
    <w:sectPr w:rsidR="004F610E" w:rsidRPr="006C6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C53D5"/>
    <w:multiLevelType w:val="multilevel"/>
    <w:tmpl w:val="AE0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69EA"/>
    <w:multiLevelType w:val="multilevel"/>
    <w:tmpl w:val="1D4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A040F"/>
    <w:multiLevelType w:val="multilevel"/>
    <w:tmpl w:val="CB5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50"/>
    <w:rsid w:val="003B17BB"/>
    <w:rsid w:val="004F610E"/>
    <w:rsid w:val="006C6EFA"/>
    <w:rsid w:val="00A863E6"/>
    <w:rsid w:val="00E0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34E5"/>
  <w15:chartTrackingRefBased/>
  <w15:docId w15:val="{61745E45-7DEA-483B-AA2A-F1B70B06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6E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50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inaweb.com.br/blog/introducao-aos-principios-sol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1574</Words>
  <Characters>8502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2025-08-30T15:42:00Z</dcterms:created>
  <dcterms:modified xsi:type="dcterms:W3CDTF">2025-08-30T16:55:00Z</dcterms:modified>
</cp:coreProperties>
</file>