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3B8757F9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4F6B5B">
              <w:rPr>
                <w:rFonts w:ascii="Times New Roman" w:hAnsi="Times New Roman"/>
                <w:b/>
                <w:sz w:val="24"/>
                <w:szCs w:val="24"/>
              </w:rPr>
              <w:t xml:space="preserve"> Douglas Marcelo Monquero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15D89764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  <w:r w:rsidR="004F6B5B">
              <w:rPr>
                <w:rFonts w:ascii="Times New Roman" w:hAnsi="Times New Roman"/>
                <w:b/>
                <w:sz w:val="24"/>
                <w:szCs w:val="24"/>
              </w:rPr>
              <w:t xml:space="preserve"> 23343540-5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354660A2" w:rsidR="00A50CBF" w:rsidRPr="00EF33F9" w:rsidRDefault="00141979" w:rsidP="00EA204A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2F3B7A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74ABE8F9" w:rsidR="00A50CBF" w:rsidRPr="00EF33F9" w:rsidRDefault="00141979" w:rsidP="00EA204A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2F3B7A">
              <w:rPr>
                <w:rFonts w:ascii="Times New Roman" w:hAnsi="Times New Roman"/>
                <w:b/>
                <w:sz w:val="24"/>
                <w:szCs w:val="24"/>
              </w:rPr>
              <w:t>Projeto, Implementação e Teste de Software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1A60C440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  <w:r w:rsidR="00304301">
              <w:rPr>
                <w:rFonts w:ascii="Times New Roman" w:hAnsi="Times New Roman"/>
                <w:b/>
                <w:sz w:val="24"/>
                <w:szCs w:val="24"/>
              </w:rPr>
              <w:t>3,5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2818C0D4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  <w:r w:rsidR="004F6B5B">
              <w:rPr>
                <w:rFonts w:ascii="Times New Roman" w:hAnsi="Times New Roman"/>
                <w:b/>
                <w:sz w:val="24"/>
                <w:szCs w:val="24"/>
              </w:rPr>
              <w:t xml:space="preserve"> 21/09/2025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Critérios de avaliação: Utilização do </w:t>
      </w:r>
      <w:proofErr w:type="spellStart"/>
      <w:r w:rsidRPr="00EF33F9">
        <w:rPr>
          <w:rFonts w:ascii="Times New Roman" w:hAnsi="Times New Roman"/>
          <w:sz w:val="24"/>
          <w:szCs w:val="24"/>
        </w:rPr>
        <w:t>template</w:t>
      </w:r>
      <w:proofErr w:type="spellEnd"/>
      <w:r w:rsidRPr="00EF33F9">
        <w:rPr>
          <w:rFonts w:ascii="Times New Roman" w:hAnsi="Times New Roman"/>
          <w:sz w:val="24"/>
          <w:szCs w:val="24"/>
        </w:rPr>
        <w:t>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726CB55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lastRenderedPageBreak/>
        <w:t>ATIVIDADE MAPA – PROJETO, IMPLEMENTAÇÃO E TESTE DE SOFTWARE – 53_2025</w:t>
      </w:r>
    </w:p>
    <w:p w14:paraId="76532A68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ED043" w14:textId="67B49A61" w:rsidR="004F6B5B" w:rsidRDefault="004F6B5B" w:rsidP="004F6B5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Douglas Marcelo Monquero</w:t>
      </w:r>
    </w:p>
    <w:p w14:paraId="169367BD" w14:textId="77777777" w:rsidR="004F6B5B" w:rsidRPr="00F601F8" w:rsidRDefault="004F6B5B" w:rsidP="004F6B5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4D89D8A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Este projeto busca construir um sistema de gestão de eventos híbridos que seja útil no dia a dia de organizadores e participantes e que também se sustente tecnicamente. Adotamos um plano que visa clareza do problema, simplicidade operacional no início e capacidade de evoluir quando a demanda crescer. A literatura de Engenharia de Software lembra que arquitetura é o conjunto de decisões que mais influenciam qualidade, custo e risco ao longo do ciclo de vida (PRESSMAN; MAXIM, 2016; FILHO, 2019). Por isso, cada escolha abaixo é explicada a partir de conceitos, termos e práticas amplamente aceitos no mercado.</w:t>
      </w:r>
    </w:p>
    <w:p w14:paraId="1520931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B6EE8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1. Análise e Projeto de Software</w:t>
      </w:r>
    </w:p>
    <w:p w14:paraId="0DE8CA5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65E24" w14:textId="27C42E1D" w:rsidR="004F6B5B" w:rsidRPr="00F601F8" w:rsidRDefault="0036554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F6B5B" w:rsidRPr="00F601F8">
        <w:rPr>
          <w:rFonts w:ascii="Times New Roman" w:hAnsi="Times New Roman" w:cs="Times New Roman"/>
          <w:sz w:val="24"/>
          <w:szCs w:val="24"/>
        </w:rPr>
        <w:t>Os requisitos funcionais (autenticação, criação/gestão de eventos, inscrições/pagamentos, transmissão ao vivo, certificados, dashboard e networking) traduzem necessidades de negócio em capacidades verificáveis. Os requisitos não funcionais (manutenibilidade, segurança/LGPD, desempenho para picos, interoperabilidade com APIs e portabilidade) definem como o sistema deve se comportar, mesmo diante de mudanças no entorno.</w:t>
      </w:r>
    </w:p>
    <w:p w14:paraId="2776675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6658E9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Para alinhar todos os envolvidos, usamos casos de uso: uma forma visual e textual de descrever o objetivo do usuário e o valor que o sistema entrega em cada interação. Em UML, o diagrama atua como um “contrato de entendimento” entre áreas técnicas e não técnicas, facilitando o diálogo e orientando testes futuros (GUEDES, 2011). Aqui, por exemplo, “Realizar inscrição” inclui “Processar pagamento”; “Assistir evento online” pode estender “Interagir no chat ao vivo”.</w:t>
      </w:r>
    </w:p>
    <w:p w14:paraId="656D84E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FD2AE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Requisitos funcionais</w:t>
      </w:r>
    </w:p>
    <w:p w14:paraId="69922B5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6539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RF01: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permitir cadastro e autenticação de organizadores e participantes.</w:t>
      </w:r>
    </w:p>
    <w:p w14:paraId="4D10D823" w14:textId="764D1C53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lastRenderedPageBreak/>
        <w:t>RF02: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 xml:space="preserve">O sistema deve permitir criação e gestão de eventos presenciais, virtuais e </w:t>
      </w:r>
      <w:proofErr w:type="gramStart"/>
      <w:r w:rsidR="00C42C1D" w:rsidRPr="00C42C1D">
        <w:rPr>
          <w:rFonts w:ascii="Times New Roman" w:hAnsi="Times New Roman" w:cs="Times New Roman"/>
          <w:sz w:val="24"/>
          <w:szCs w:val="24"/>
        </w:rPr>
        <w:t>híbridos.</w:t>
      </w:r>
      <w:r w:rsidRPr="00F601F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A40973A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RF03: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processar inscrições com múltiplas modalidades de pagamento.</w:t>
      </w:r>
    </w:p>
    <w:p w14:paraId="2563F060" w14:textId="77777777" w:rsidR="00C42C1D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RF04: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O sistema deve disponibilizar transmissão ao vivo para eventos virtuais/híbridos.</w:t>
      </w:r>
    </w:p>
    <w:p w14:paraId="13ABB2A3" w14:textId="5053D3E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RF05: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O sistema deve emitir certificados digitais automaticamente após o término do evento, conforme regra de presença.</w:t>
      </w:r>
    </w:p>
    <w:p w14:paraId="3CF0E06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RF06: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fornecer dashboard analítico.</w:t>
      </w:r>
    </w:p>
    <w:p w14:paraId="7FDE5477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RF07: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 sistema deve oferecer recursos de networking entre participantes.</w:t>
      </w:r>
    </w:p>
    <w:p w14:paraId="0F5B5324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9153E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Tais requisitos devem ser capturados com clareza e rastreabilidade para orientar a arquitetura e os testes (FILHO, 2019).</w:t>
      </w:r>
    </w:p>
    <w:p w14:paraId="0B4DD916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DCBA0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Requisitos não funcionais</w:t>
      </w:r>
    </w:p>
    <w:p w14:paraId="33138CF5" w14:textId="77777777" w:rsidR="00C42C1D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RNF01</w:t>
      </w:r>
      <w:r w:rsidRPr="00F601F8">
        <w:rPr>
          <w:rFonts w:ascii="Times New Roman" w:hAnsi="Times New Roman" w:cs="Times New Roman"/>
          <w:sz w:val="24"/>
          <w:szCs w:val="24"/>
        </w:rPr>
        <w:t>: Manutenibilidade</w:t>
      </w:r>
      <w:r w:rsidR="00C42C1D">
        <w:rPr>
          <w:rFonts w:ascii="Times New Roman" w:hAnsi="Times New Roman" w:cs="Times New Roman"/>
          <w:sz w:val="24"/>
          <w:szCs w:val="24"/>
        </w:rPr>
        <w:t>:</w:t>
      </w:r>
      <w:r w:rsidR="00C42C1D" w:rsidRPr="00C42C1D"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O sistema deve adotar alta coesão e baixo acoplamento.</w:t>
      </w:r>
    </w:p>
    <w:p w14:paraId="7190CBD4" w14:textId="77777777" w:rsidR="00C42C1D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RNF02: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Segurança e privacidade: O sistema deve implementar criptografia de dados, controle de acesso e estar em conformidade com a LGPD.</w:t>
      </w:r>
    </w:p>
    <w:p w14:paraId="082B4AA9" w14:textId="77777777" w:rsidR="00C42C1D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RNF03: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Desempenho: O sistema deve suportar 50.000 usuários simultâneos com tempo de resposta inferior a 3 segundos.</w:t>
      </w:r>
    </w:p>
    <w:p w14:paraId="537B2DB9" w14:textId="77777777" w:rsidR="00C42C1D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RNF04: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Escalabilidade: A arquitetura deve permitir expansão horizontal para crescimento futuro.</w:t>
      </w:r>
    </w:p>
    <w:p w14:paraId="7F1EF123" w14:textId="3AE54C54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RNF05: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Interoperabilidade: O sistema deve interoperar com múltiplas APIs externas.</w:t>
      </w:r>
    </w:p>
    <w:p w14:paraId="18E9EE67" w14:textId="5E0A3B7F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RNF06:</w:t>
      </w:r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r w:rsidR="00C42C1D" w:rsidRPr="00C42C1D">
        <w:rPr>
          <w:rFonts w:ascii="Times New Roman" w:hAnsi="Times New Roman" w:cs="Times New Roman"/>
          <w:sz w:val="24"/>
          <w:szCs w:val="24"/>
        </w:rPr>
        <w:t>Observabilidade: O sistema deve ser verificável por meio de logs, métricas e rastreamento.</w:t>
      </w:r>
    </w:p>
    <w:p w14:paraId="616B979E" w14:textId="77777777" w:rsidR="004F6B5B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Quanto aos requisitos não funcionais, destacam-se atributos alinhados ao modelo de qualidade ISO/IEC 25010 (ISO/IEC, 2011) e à abordagem de qualidade proposta pela literatura clássica (PRESSMAN; MAXIM, 2016). Requisitos definem o quê entregar; casos de uso expressam como cada ator alcança esse valor (GUEDES, 2011).</w:t>
      </w:r>
    </w:p>
    <w:p w14:paraId="77A47D0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EA188" w14:textId="77777777" w:rsidR="004F6B5B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2. Atores e Casos de Uso</w:t>
      </w:r>
    </w:p>
    <w:p w14:paraId="5567CCA0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1F776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principais:</w:t>
      </w:r>
      <w:r w:rsidRPr="00F601F8">
        <w:rPr>
          <w:rFonts w:ascii="Times New Roman" w:hAnsi="Times New Roman" w:cs="Times New Roman"/>
          <w:sz w:val="24"/>
          <w:szCs w:val="24"/>
        </w:rPr>
        <w:t xml:space="preserve"> Organizador, Participante, Administrador.</w:t>
      </w:r>
    </w:p>
    <w:p w14:paraId="541F1B78" w14:textId="624F784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externos:</w:t>
      </w:r>
      <w:r w:rsidRPr="00F601F8">
        <w:rPr>
          <w:rFonts w:ascii="Times New Roman" w:hAnsi="Times New Roman" w:cs="Times New Roman"/>
          <w:sz w:val="24"/>
          <w:szCs w:val="24"/>
        </w:rPr>
        <w:t xml:space="preserve"> Gateway de Pagamento, Plataforma de Streaming, Serviço de Certificação</w:t>
      </w:r>
      <w:r w:rsidR="00314279">
        <w:rPr>
          <w:rFonts w:ascii="Times New Roman" w:hAnsi="Times New Roman" w:cs="Times New Roman"/>
          <w:sz w:val="24"/>
          <w:szCs w:val="24"/>
        </w:rPr>
        <w:t>.</w:t>
      </w:r>
      <w:r w:rsidRPr="00F601F8">
        <w:rPr>
          <w:rFonts w:ascii="Times New Roman" w:hAnsi="Times New Roman" w:cs="Times New Roman"/>
          <w:sz w:val="24"/>
          <w:szCs w:val="24"/>
        </w:rPr>
        <w:tab/>
      </w:r>
    </w:p>
    <w:p w14:paraId="486DADE0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BAB02E" wp14:editId="14058A36">
            <wp:extent cx="4611108" cy="54292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754" cy="551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37B4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01 – Diagrama de caso de uso.</w:t>
      </w:r>
    </w:p>
    <w:p w14:paraId="46C9B940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Fonte: elaboração própria.</w:t>
      </w:r>
    </w:p>
    <w:p w14:paraId="43D4A35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A36D0" w14:textId="77777777" w:rsidR="004F6B5B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</w:p>
    <w:p w14:paraId="0465A1FB" w14:textId="77777777" w:rsidR="004F6B5B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>Casos de uso nucleares incluem: o Organizador autentica-se, cria e publica o evento (agenda/sessões), gerencia inscrições/pagamentos, acompanha métricas e emite certificados; o Participante registra-se, paga, assiste à transmissão ao vivo e obtém certificado; o Administrador governa usuários, auditorias e integrações.</w:t>
      </w:r>
    </w:p>
    <w:p w14:paraId="4A03DA8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601F8">
        <w:rPr>
          <w:rFonts w:ascii="Times New Roman" w:hAnsi="Times New Roman" w:cs="Times New Roman"/>
          <w:sz w:val="24"/>
          <w:szCs w:val="24"/>
        </w:rPr>
        <w:t>Segundo Guedes (2011), o diagrama de casos de uso concentra-se em atores e casos de uso; atores podem ser usuários humanos ou entes externos (serviços/hardware) que interajam com o software.</w:t>
      </w:r>
    </w:p>
    <w:p w14:paraId="10E407D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0CF0C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Primários (humanos)</w:t>
      </w:r>
    </w:p>
    <w:p w14:paraId="667D2AC6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EE82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a) Organizador de Eventos b) Participante c) Administrador do Sistema</w:t>
      </w:r>
    </w:p>
    <w:p w14:paraId="047C6A60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Atores Secundários (sistemas externos)</w:t>
      </w:r>
    </w:p>
    <w:p w14:paraId="34098878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521C8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a) API de Pagamento b) API de Streaming c) API de Certificação</w:t>
      </w:r>
    </w:p>
    <w:p w14:paraId="61ADECB7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F1A7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2.2. Casos de uso</w:t>
      </w:r>
    </w:p>
    <w:p w14:paraId="23866BD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31A0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Autenticação</w:t>
      </w:r>
    </w:p>
    <w:p w14:paraId="016B387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UC01: Realizar Login UC02: Cadastrar Usuário UC03: Recuperar Senha UC04: Gerenciar Perfil</w:t>
      </w:r>
    </w:p>
    <w:p w14:paraId="0963169D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673A89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Gestão de Eventos</w:t>
      </w:r>
    </w:p>
    <w:p w14:paraId="483D7345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UC05: Criar Evento UC06: Editar Evento UC07: Configurar Evento Híbrido UC08: Publicar Evento UC09: Gerenciar Agenda</w:t>
      </w:r>
    </w:p>
    <w:p w14:paraId="787C09F6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Inscrições</w:t>
      </w:r>
    </w:p>
    <w:p w14:paraId="499711C9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UC10: Realizar Inscrição UC11: Processar Pagamento UC12: Cancelar Inscrição UC13: Validar Participação</w:t>
      </w:r>
    </w:p>
    <w:p w14:paraId="439229C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Transmissão</w:t>
      </w:r>
    </w:p>
    <w:p w14:paraId="5958B3DE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UC14: Iniciar Transmissão UC15: Assistir Evento Online UC16: Gerenciar Chat ao Vivo UC17: Gravar Evento</w:t>
      </w:r>
    </w:p>
    <w:p w14:paraId="3AF934E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Certificação</w:t>
      </w:r>
    </w:p>
    <w:p w14:paraId="0570237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UC18: Gerar Certificado Digital UC19: Verificar Autenticidade UC20: Enviar Certificado</w:t>
      </w:r>
    </w:p>
    <w:p w14:paraId="3A0C7A7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 xml:space="preserve">Módulo de </w:t>
      </w:r>
      <w:proofErr w:type="spellStart"/>
      <w:r w:rsidRPr="00F601F8">
        <w:rPr>
          <w:rFonts w:ascii="Times New Roman" w:hAnsi="Times New Roman" w:cs="Times New Roman"/>
          <w:b/>
          <w:bCs/>
          <w:sz w:val="24"/>
          <w:szCs w:val="24"/>
        </w:rPr>
        <w:t>Analytics</w:t>
      </w:r>
      <w:proofErr w:type="spellEnd"/>
    </w:p>
    <w:p w14:paraId="0BC428D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UC21: Visualizar Dashboard UC22: Gerar Relatórios UC23: Monitorar Participação</w:t>
      </w:r>
    </w:p>
    <w:p w14:paraId="7F5E82C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Networking</w:t>
      </w:r>
    </w:p>
    <w:p w14:paraId="67CB4C74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UC24: Conectar Participantes UC25: Enviar Mensagens UC26: Criar Salas Virtuais</w:t>
      </w:r>
    </w:p>
    <w:p w14:paraId="7D40E144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Módulo de Administração</w:t>
      </w:r>
    </w:p>
    <w:p w14:paraId="3D0EF9D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UC27: Gerenciar Usuários UC28: Configurar Sistema UC29: Aplicar Políticas LGPD UC30: Monitorar Performance</w:t>
      </w:r>
    </w:p>
    <w:p w14:paraId="0292BA8B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B246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Mapeamento de participações (exemplos):</w:t>
      </w:r>
    </w:p>
    <w:p w14:paraId="107FC528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50D39" w14:textId="77777777" w:rsidR="004F6B5B" w:rsidRDefault="004F6B5B" w:rsidP="009D580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B5B">
        <w:rPr>
          <w:rFonts w:ascii="Times New Roman" w:hAnsi="Times New Roman" w:cs="Times New Roman"/>
          <w:b/>
          <w:bCs/>
          <w:sz w:val="24"/>
          <w:szCs w:val="24"/>
        </w:rPr>
        <w:t>Organizador de Eventos:</w:t>
      </w:r>
      <w:r w:rsidRPr="004F6B5B">
        <w:rPr>
          <w:rFonts w:ascii="Times New Roman" w:hAnsi="Times New Roman" w:cs="Times New Roman"/>
          <w:sz w:val="24"/>
          <w:szCs w:val="24"/>
        </w:rPr>
        <w:t xml:space="preserve"> UC01–UC04, UC05–UC09, UC13, UC14/UC16/UC17, UC18/UC20, UC21–UC23.</w:t>
      </w:r>
    </w:p>
    <w:p w14:paraId="1CFE5ED9" w14:textId="1783FE1F" w:rsidR="004F6B5B" w:rsidRPr="004F6B5B" w:rsidRDefault="004F6B5B" w:rsidP="000D4B1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B5B">
        <w:rPr>
          <w:rFonts w:ascii="Times New Roman" w:hAnsi="Times New Roman" w:cs="Times New Roman"/>
          <w:b/>
          <w:bCs/>
          <w:sz w:val="24"/>
          <w:szCs w:val="24"/>
        </w:rPr>
        <w:t>Participante:</w:t>
      </w:r>
      <w:r w:rsidRPr="004F6B5B">
        <w:rPr>
          <w:rFonts w:ascii="Times New Roman" w:hAnsi="Times New Roman" w:cs="Times New Roman"/>
          <w:sz w:val="24"/>
          <w:szCs w:val="24"/>
        </w:rPr>
        <w:t xml:space="preserve"> UC01–UC04, UC10/UC12, UC15, UC19, UC24–UC26.</w:t>
      </w:r>
    </w:p>
    <w:p w14:paraId="61CB902E" w14:textId="06AA61C1" w:rsidR="004F6B5B" w:rsidRPr="004F6B5B" w:rsidRDefault="004F6B5B" w:rsidP="0001378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B5B">
        <w:rPr>
          <w:rFonts w:ascii="Times New Roman" w:hAnsi="Times New Roman" w:cs="Times New Roman"/>
          <w:b/>
          <w:bCs/>
          <w:sz w:val="24"/>
          <w:szCs w:val="24"/>
        </w:rPr>
        <w:t>Administrador:</w:t>
      </w:r>
      <w:r w:rsidRPr="004F6B5B">
        <w:rPr>
          <w:rFonts w:ascii="Times New Roman" w:hAnsi="Times New Roman" w:cs="Times New Roman"/>
          <w:sz w:val="24"/>
          <w:szCs w:val="24"/>
        </w:rPr>
        <w:t xml:space="preserve"> UC01, UC27–UC30.</w:t>
      </w:r>
    </w:p>
    <w:p w14:paraId="647A684D" w14:textId="48F1A70C" w:rsidR="004F6B5B" w:rsidRDefault="004F6B5B" w:rsidP="00BA11A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B5B">
        <w:rPr>
          <w:rFonts w:ascii="Times New Roman" w:hAnsi="Times New Roman" w:cs="Times New Roman"/>
          <w:b/>
          <w:bCs/>
          <w:sz w:val="24"/>
          <w:szCs w:val="24"/>
        </w:rPr>
        <w:t>APIs externas:</w:t>
      </w:r>
      <w:r w:rsidRPr="004F6B5B">
        <w:rPr>
          <w:rFonts w:ascii="Times New Roman" w:hAnsi="Times New Roman" w:cs="Times New Roman"/>
          <w:sz w:val="24"/>
          <w:szCs w:val="24"/>
        </w:rPr>
        <w:t xml:space="preserve"> Pagamento (UC11), Streaming (UC14/UC15/UC17), Certificação (UC18–UC20).</w:t>
      </w:r>
    </w:p>
    <w:p w14:paraId="79A244FB" w14:textId="77777777" w:rsidR="004F6B5B" w:rsidRPr="004F6B5B" w:rsidRDefault="004F6B5B" w:rsidP="00BA11A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04F07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2.4. Relacionamentos especiais</w:t>
      </w:r>
    </w:p>
    <w:p w14:paraId="71E49F7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5EBC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&lt;&lt;include&gt;&gt;:</w:t>
      </w:r>
    </w:p>
    <w:p w14:paraId="45F3D60A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70AE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UC05 (Criar Evento) inclui UC01 (Realizar Login)</w:t>
      </w:r>
    </w:p>
    <w:p w14:paraId="2A19645B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UC10 (Realizar Inscrição) inclui UC11 (Processar Pagamento)</w:t>
      </w:r>
    </w:p>
    <w:p w14:paraId="2B2BD23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UC18 (Gerar Certificado) inclui UC13 (Validar Participação)</w:t>
      </w:r>
    </w:p>
    <w:p w14:paraId="4B2D96E6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2D17E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Pr="00F601F8">
        <w:rPr>
          <w:rFonts w:ascii="Times New Roman" w:hAnsi="Times New Roman" w:cs="Times New Roman"/>
          <w:b/>
          <w:bCs/>
          <w:sz w:val="24"/>
          <w:szCs w:val="24"/>
        </w:rPr>
        <w:t>extend</w:t>
      </w:r>
      <w:proofErr w:type="spellEnd"/>
      <w:r w:rsidRPr="00F601F8">
        <w:rPr>
          <w:rFonts w:ascii="Times New Roman" w:hAnsi="Times New Roman" w:cs="Times New Roman"/>
          <w:b/>
          <w:bCs/>
          <w:sz w:val="24"/>
          <w:szCs w:val="24"/>
        </w:rPr>
        <w:t>&gt;&gt;:</w:t>
      </w:r>
    </w:p>
    <w:p w14:paraId="1A2BA3B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5891E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UC15 (Assistir Evento Online) estende UC16 (Gerenciar Chat ao Vivo)</w:t>
      </w:r>
    </w:p>
    <w:p w14:paraId="7BD9F63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UC14 (Iniciar Transmissão) estende UC17 (Gravar Evento)</w:t>
      </w:r>
    </w:p>
    <w:p w14:paraId="73C8D17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1972F6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3. Arquitetura e Fundamentação</w:t>
      </w:r>
    </w:p>
    <w:p w14:paraId="3D5C3D6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B8F6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Arquitetura é, sobretudo, gestão de risco: com equipe pequena e prazo curto, precisamos de algo que ande rápido hoje e permaneça evolutivo amanhã. Em vez de iniciar distribuindo o sistema em muitos serviços e camadas operacionais (o que aumenta custo de coordenação e de observabilidade), adotamos uma forma que privilegia clareza de responsabilidades, testes fáceis e porta aberta para crescer (PRESSMAN; MAXIM, 2016; FILHO, 2019).</w:t>
      </w:r>
    </w:p>
    <w:p w14:paraId="4EA8273F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94079E" wp14:editId="489FD789">
            <wp:extent cx="4429125" cy="186014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738" cy="188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7FC5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02 – Exemplos de arquitetura (monólito tradicional vs. monólito modular).</w:t>
      </w:r>
    </w:p>
    <w:p w14:paraId="429060EA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9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https://dev.to</w:t>
        </w:r>
      </w:hyperlink>
    </w:p>
    <w:p w14:paraId="37E2BB4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 xml:space="preserve">Para acomodar crescimento e autonomia por domínio, definimos como arquitetura-alvo uma evolução para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microsserviços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, preservando a organização por contextos. Essa opção favorece escalabilidade independente, resiliência por isolamento de falhas, manutenibilidade por equipes atuando por módulo e liberdade tecnológica quando justificado. Enquanto os indicadores de uso não exigirem distribuição, mantemos a operação no monólito modular e extrairemos apenas os módulos com necessidades claras de escala ou cadência de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distinta.</w:t>
      </w:r>
    </w:p>
    <w:p w14:paraId="1036D368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Adota-se Monólito Modular com arquitetura em camadas no nível físico (apresentação/aplicação, domínio, infraestrutura) e estilo Hexagonal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Ports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Adapters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) no nível lógico, mantendo o Domínio protegido de detalhes de tecnologia (MARTIN, 2017; EVANS, 2004). Em termos práticos: um único executável simplifica a operação; módulos bem separados evitam acoplamento acidental; portas/adaptadores permitem trocar banco, mensageria ou provedores externos sem reescrever regras de negócio (FOWLER, 2015; BROWN, 2018; NEWMAN, 2021).</w:t>
      </w:r>
    </w:p>
    <w:p w14:paraId="2258FCFF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ADA03" wp14:editId="0FED5CA8">
            <wp:extent cx="3238500" cy="171089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757" cy="173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8FAA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03 – Exemplo de módulos com implantação independente.</w:t>
      </w:r>
    </w:p>
    <w:p w14:paraId="3D0A3C1B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11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https://codigosimples.net/</w:t>
        </w:r>
      </w:hyperlink>
    </w:p>
    <w:p w14:paraId="4CB0BF5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lastRenderedPageBreak/>
        <w:t xml:space="preserve">Para manter o foco no que importa, partimos de DDD: dividir o sistema em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Bounded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, cada qual com linguagem ubíqua própria (EVANS, 2004):</w:t>
      </w:r>
    </w:p>
    <w:p w14:paraId="33AA0750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Identidade &amp; Acesso (autenticação/autorização, RBAC/ABAC)</w:t>
      </w:r>
    </w:p>
    <w:p w14:paraId="1CE74834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Eventos (agenda, sessões, palestrantes, locais, fuso/idioma)</w:t>
      </w:r>
    </w:p>
    <w:p w14:paraId="6FC9B8F2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Inscrições &amp; Pagamentos (ordens, faturas,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webhooks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, conciliação)</w:t>
      </w:r>
    </w:p>
    <w:p w14:paraId="28C915C0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Transmissão/Engajamento (provedor de vídeo, chat/Q&amp;A)</w:t>
      </w:r>
    </w:p>
    <w:p w14:paraId="455427B6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Certificação (regras de presença, emissão, verificação por QR)</w:t>
      </w:r>
    </w:p>
    <w:p w14:paraId="48845D77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(eventos de produto, KPIs)</w:t>
      </w:r>
    </w:p>
    <w:p w14:paraId="19026ABC" w14:textId="77777777" w:rsidR="004F6B5B" w:rsidRPr="001D2845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845">
        <w:rPr>
          <w:rFonts w:ascii="Times New Roman" w:hAnsi="Times New Roman" w:cs="Times New Roman"/>
          <w:sz w:val="24"/>
          <w:szCs w:val="24"/>
        </w:rPr>
        <w:t xml:space="preserve">Networking (perfis, interesses, </w:t>
      </w:r>
      <w:proofErr w:type="spellStart"/>
      <w:r w:rsidRPr="001D2845">
        <w:rPr>
          <w:rFonts w:ascii="Times New Roman" w:hAnsi="Times New Roman" w:cs="Times New Roman"/>
          <w:sz w:val="24"/>
          <w:szCs w:val="24"/>
        </w:rPr>
        <w:t>matching</w:t>
      </w:r>
      <w:proofErr w:type="spellEnd"/>
      <w:r w:rsidRPr="001D2845">
        <w:rPr>
          <w:rFonts w:ascii="Times New Roman" w:hAnsi="Times New Roman" w:cs="Times New Roman"/>
          <w:sz w:val="24"/>
          <w:szCs w:val="24"/>
        </w:rPr>
        <w:t>, mensagens)</w:t>
      </w:r>
    </w:p>
    <w:p w14:paraId="0CC5733C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757EA" wp14:editId="2296329B">
            <wp:extent cx="4482718" cy="24193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069" cy="25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7C79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Figura 04 – Exemplo de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microsserviços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.</w:t>
      </w:r>
    </w:p>
    <w:p w14:paraId="44CDDFDC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13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https://marcdias.com.br</w:t>
        </w:r>
      </w:hyperlink>
    </w:p>
    <w:p w14:paraId="2911D3B7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F3D05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 xml:space="preserve">Em cada contexto, modelam-se Entidades, Objetos de Valor, Agregados (com invariantes), Repositórios e Serviços (EVANS, 2004; MARTIN, 2017). Nas integrações com terceiros, uma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Anti-Corruption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impede “vazamento” de modelos externos (EVANS, 2004).</w:t>
      </w:r>
    </w:p>
    <w:p w14:paraId="438BC68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Aplicamos SOLID em cada módulo (MARTIN, 2017): SRP, OCP, LSP, ISP, DIP, o domínio depende de abstrações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ports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), enquanto detalhes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SDKs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, DB) ficam em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adapters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.</w:t>
      </w:r>
    </w:p>
    <w:p w14:paraId="644B589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 xml:space="preserve">Usamos Eventos de Domínio para desacoplar reações a fatos do negócio; Sagas orquestram inscrição e pagamento com ações compensatórias; e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Outbox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assegura publicação confiável de eventos e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idempotência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(KLEPPMANN, 2017; NEWMAN, 2021). </w:t>
      </w:r>
      <w:r w:rsidRPr="00F601F8">
        <w:rPr>
          <w:rFonts w:ascii="Times New Roman" w:hAnsi="Times New Roman" w:cs="Times New Roman"/>
          <w:sz w:val="24"/>
          <w:szCs w:val="24"/>
        </w:rPr>
        <w:lastRenderedPageBreak/>
        <w:t xml:space="preserve">Um API Gateway centraliza autenticação, rate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limiting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, roteamento e observabilidade (RICHARDS; FORD, 2020).</w:t>
      </w:r>
    </w:p>
    <w:p w14:paraId="3991AFBB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 xml:space="preserve">Padrões de projeto: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(políticas de preço),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Factory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/Abstract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Factory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(provedores),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Adapter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SDKs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Facade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(orquestrações),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Observer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(eventos) (GAMMA et al., 1994).</w:t>
      </w:r>
    </w:p>
    <w:p w14:paraId="250F78D8" w14:textId="77777777" w:rsidR="004F6B5B" w:rsidRPr="007F5FCB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FCB">
        <w:rPr>
          <w:rFonts w:ascii="Times New Roman" w:hAnsi="Times New Roman" w:cs="Times New Roman"/>
          <w:b/>
          <w:bCs/>
          <w:sz w:val="24"/>
          <w:szCs w:val="24"/>
        </w:rPr>
        <w:t xml:space="preserve">Arquitetura Recomendada (alvo) — </w:t>
      </w:r>
      <w:proofErr w:type="spellStart"/>
      <w:r w:rsidRPr="007F5FCB">
        <w:rPr>
          <w:rFonts w:ascii="Times New Roman" w:hAnsi="Times New Roman" w:cs="Times New Roman"/>
          <w:b/>
          <w:bCs/>
          <w:sz w:val="24"/>
          <w:szCs w:val="24"/>
        </w:rPr>
        <w:t>Microsserviços</w:t>
      </w:r>
      <w:proofErr w:type="spellEnd"/>
    </w:p>
    <w:p w14:paraId="5D9BBD20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Escalabilidade: cada serviço escala independentemente.</w:t>
      </w:r>
    </w:p>
    <w:p w14:paraId="3AB3597B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Manutenibilidade: equipes atuam por módulo/serviço.</w:t>
      </w:r>
    </w:p>
    <w:p w14:paraId="0D7C89E5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Resiliência: falhas isoladas não derrubam o todo.</w:t>
      </w:r>
    </w:p>
    <w:p w14:paraId="7DC2D13B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Tecnologia heterogênea: liberdade tecnológica por serviço.</w:t>
      </w:r>
    </w:p>
    <w:p w14:paraId="35E1C9BB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Estratégia: iniciamos em Monólito Modular (simplicidade/observabilidade) com evolução planejada para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microsserviços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quando métricas de uso/performance exigirem.</w:t>
      </w:r>
    </w:p>
    <w:p w14:paraId="3204EA2B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8484B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4. Estratégia de Implementação</w:t>
      </w:r>
    </w:p>
    <w:p w14:paraId="4A1A2276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A8F211" w14:textId="45FFEB32" w:rsidR="004F6B5B" w:rsidRPr="00F601F8" w:rsidRDefault="00314279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F6B5B" w:rsidRPr="00F601F8">
        <w:rPr>
          <w:rFonts w:ascii="Times New Roman" w:hAnsi="Times New Roman" w:cs="Times New Roman"/>
          <w:sz w:val="24"/>
          <w:szCs w:val="24"/>
        </w:rPr>
        <w:t xml:space="preserve">Optamos por uma stack madura: Java + Spring no servidor (produtividade, segurança), </w:t>
      </w:r>
      <w:proofErr w:type="spellStart"/>
      <w:r w:rsidR="004F6B5B" w:rsidRPr="00F601F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4F6B5B" w:rsidRPr="00F601F8">
        <w:rPr>
          <w:rFonts w:ascii="Times New Roman" w:hAnsi="Times New Roman" w:cs="Times New Roman"/>
          <w:sz w:val="24"/>
          <w:szCs w:val="24"/>
        </w:rPr>
        <w:t>/Next.js no cliente (experiência fluida e i18n), PostgreSQL para dados transacionais e Redis para agilidade. Integrações com pagamento, vídeo e e-mail ficam na borda para serem trocadas quando o negócio expandir (FILHO, 2019; PRESSMAN; MAXIM, 2016).</w:t>
      </w:r>
    </w:p>
    <w:p w14:paraId="575B5C60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Back-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(Java 21 + Spring Boot): produtividade, segurança e ecossistema; casos de uso expostos via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ports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e implementados com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adapters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REST/DB/filas (MARTIN, 2017).</w:t>
      </w:r>
    </w:p>
    <w:p w14:paraId="66F3C5C9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01F8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/Next.js): experiência fluida, i18n e acessibilidade.</w:t>
      </w:r>
    </w:p>
    <w:p w14:paraId="30F793FA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Dados: PostgreSQL (transações); Redis (cache/sessões); armazenamento de objetos para certificados.</w:t>
      </w:r>
    </w:p>
    <w:p w14:paraId="24F49D23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Mensageria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/SQS): filas para certificados, e-mails,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webhooks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— absorvem picos.</w:t>
      </w:r>
    </w:p>
    <w:p w14:paraId="573D0DD9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Infraestrutura: AWS (EC2, RDS/PostgreSQL, S3,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). Conteinerização com Docker e orquestração com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(EKS), permitindo escalonamento horizontal por serviço.</w:t>
      </w:r>
    </w:p>
    <w:p w14:paraId="5C491845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lastRenderedPageBreak/>
        <w:tab/>
        <w:t>O modelo em camadas (aplicação → domínio → infraestrutura) separa responsabilidades e facilita testes/troca de adaptadores (FILHO, 2019; MARTIN, 2017).</w:t>
      </w:r>
    </w:p>
    <w:p w14:paraId="7B34F21E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Modularização por domínio:</w:t>
      </w:r>
    </w:p>
    <w:p w14:paraId="39396E0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Autenticação; Eventos; Pagamentos (PIX, cartão, boleto); Streaming; Certificação;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.</w:t>
      </w:r>
    </w:p>
    <w:p w14:paraId="6B3F93A7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Segurança:</w:t>
      </w:r>
      <w:r w:rsidRPr="00F601F8">
        <w:rPr>
          <w:rFonts w:ascii="Times New Roman" w:hAnsi="Times New Roman" w:cs="Times New Roman"/>
          <w:sz w:val="24"/>
          <w:szCs w:val="24"/>
        </w:rPr>
        <w:t xml:space="preserve"> minimização de dados, consentimento, DSR, criptografia em trânsito e repouso, validações de entrada e auditoria (OWASP, 2021).</w:t>
      </w:r>
    </w:p>
    <w:p w14:paraId="011070F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Qualidade/Entrega:</w:t>
      </w:r>
      <w:r w:rsidRPr="00F601F8">
        <w:rPr>
          <w:rFonts w:ascii="Times New Roman" w:hAnsi="Times New Roman" w:cs="Times New Roman"/>
          <w:sz w:val="24"/>
          <w:szCs w:val="24"/>
        </w:rPr>
        <w:t xml:space="preserve"> TDD (BECK, 2003) e CI/CD (HUMBLE; FARLEY, 2010):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GitFlow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; Jenkins ou GitHub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; testes a cada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; análise estática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); varredura de dependências; empacotamento Docker; implantação contínua em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homolog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/produção.</w:t>
      </w:r>
    </w:p>
    <w:p w14:paraId="6EC9B061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80697B" w14:textId="77777777" w:rsidR="004F6B5B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5. Plano de Testes</w:t>
      </w:r>
    </w:p>
    <w:p w14:paraId="3B5B7CCF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FE4F8" w14:textId="1B4BC9C7" w:rsidR="004F6B5B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  <w:t>Buscamos verificação e validação contínuas: construir o produto corretamente (revisões, análise estática, testes unitários/integração) e construir a coisa certa (aceitação, usabilidade) (PRESSMAN; MAXIM, 2016).</w:t>
      </w:r>
    </w:p>
    <w:p w14:paraId="4588A225" w14:textId="77777777" w:rsidR="004F6B5B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F0909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A0FD9" wp14:editId="7D1149DE">
            <wp:extent cx="3305175" cy="33051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778" cy="33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8BD1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Figura 04 – Pirâmide de testes.</w:t>
      </w:r>
    </w:p>
    <w:p w14:paraId="57A299FB" w14:textId="77777777" w:rsidR="004F6B5B" w:rsidRPr="00F601F8" w:rsidRDefault="004F6B5B" w:rsidP="004F6B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Fonte: </w:t>
      </w:r>
      <w:hyperlink r:id="rId15" w:history="1">
        <w:r w:rsidRPr="00F601F8">
          <w:rPr>
            <w:rStyle w:val="Hyperlink"/>
            <w:rFonts w:ascii="Times New Roman" w:hAnsi="Times New Roman" w:cs="Times New Roman"/>
            <w:sz w:val="24"/>
            <w:szCs w:val="24"/>
          </w:rPr>
          <w:t>https://www.dio.me</w:t>
        </w:r>
      </w:hyperlink>
    </w:p>
    <w:p w14:paraId="3A69701E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8FDAC8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lastRenderedPageBreak/>
        <w:tab/>
        <w:t>A pirâmide de testes equilibra alcance, custo e velocidade (Pressman; Maxim, 2016; FILHO, 2019):</w:t>
      </w:r>
    </w:p>
    <w:p w14:paraId="1AC8F896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Base (Unitários): regras menores/modelos (TDD, execução em segundos).</w:t>
      </w:r>
    </w:p>
    <w:p w14:paraId="2AF5425F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Componentes/Serviços: poucos componentes com dependências simuladas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mocks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/fakes).</w:t>
      </w:r>
    </w:p>
    <w:p w14:paraId="1E0012FA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Integração e Contratos: JPA/transações/filas reais; contratos dirigidos pelo consumidor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consumer-driven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contracts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).</w:t>
      </w:r>
    </w:p>
    <w:p w14:paraId="03E4B9D8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E2E (poucos): apenas fluxos críticos ponta a ponta (p. ex., inscrever → pagar → assistir → certificado).</w:t>
      </w:r>
    </w:p>
    <w:p w14:paraId="78BA4FB5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UAT: validação com usuários.</w:t>
      </w:r>
    </w:p>
    <w:p w14:paraId="1FFC7055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Ferramentas e critérios:</w:t>
      </w:r>
    </w:p>
    <w:p w14:paraId="326E3F4D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7F3F52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Unitários: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) e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(frontend); cobertura mínima de 80% no domínio.</w:t>
      </w:r>
    </w:p>
    <w:p w14:paraId="0EACF82C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Integração: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TestContainers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WireMock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; API: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/Newman.</w:t>
      </w:r>
    </w:p>
    <w:p w14:paraId="1CB9591F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E2E/Sistema: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Cypress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Playwright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.</w:t>
      </w:r>
    </w:p>
    <w:p w14:paraId="0D9CC964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Carga/Estresse: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e k6 — 10.000 (carga), 50.000 (pico), 70.000 (estresse); medir p95 de latência,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, taxa de erro e uso de recursos.</w:t>
      </w:r>
    </w:p>
    <w:p w14:paraId="52E6AD9C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Segurança: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(SAST), OWASP ZAP (DAST),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secret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scanning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threat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com ASVS e Top 10 (OWASP, 2021).</w:t>
      </w:r>
    </w:p>
    <w:p w14:paraId="769F20EC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Rastreabilidade: matriz bidirecional ligando requisito → caso de uso → cenários de teste → defeitos/correções; BDD/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Gherkin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integrados ao pipeline.</w:t>
      </w:r>
    </w:p>
    <w:p w14:paraId="51BEE31D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BA03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t>Cronograma de testes</w:t>
      </w:r>
    </w:p>
    <w:p w14:paraId="75DEE952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A9F298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Sprints 1–2: preparação de ambiente e unitários.</w:t>
      </w:r>
    </w:p>
    <w:p w14:paraId="29CC51D0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Sprints 3–4: integração e sistema/E2E.</w:t>
      </w:r>
    </w:p>
    <w:p w14:paraId="1E6B72EE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 5: carga e performance.</w:t>
      </w:r>
    </w:p>
    <w:p w14:paraId="1B24CA30" w14:textId="77777777" w:rsidR="004F6B5B" w:rsidRPr="00F601F8" w:rsidRDefault="004F6B5B" w:rsidP="004F6B5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>Sprint 6: aceitação (UAT) com stakeholders e validação final.</w:t>
      </w:r>
    </w:p>
    <w:p w14:paraId="6D6D4FFA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22109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1F8">
        <w:rPr>
          <w:rFonts w:ascii="Times New Roman" w:hAnsi="Times New Roman" w:cs="Times New Roman"/>
          <w:b/>
          <w:bCs/>
          <w:sz w:val="24"/>
          <w:szCs w:val="24"/>
        </w:rPr>
        <w:lastRenderedPageBreak/>
        <w:t>Critérios de performance:</w:t>
      </w:r>
    </w:p>
    <w:p w14:paraId="07DA097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 xml:space="preserve">Suportar 50.000 usuários simultâneos com &lt; 3 s nas operações intensas; meta interna: p95 &lt; 200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nas APIs críticas,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 xml:space="preserve"> &gt; 10.000 </w:t>
      </w:r>
      <w:proofErr w:type="spellStart"/>
      <w:r w:rsidRPr="00F601F8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F601F8">
        <w:rPr>
          <w:rFonts w:ascii="Times New Roman" w:hAnsi="Times New Roman" w:cs="Times New Roman"/>
          <w:sz w:val="24"/>
          <w:szCs w:val="24"/>
        </w:rPr>
        <w:t>/min, erro &lt; 0,1%.</w:t>
      </w:r>
    </w:p>
    <w:p w14:paraId="52A93693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F8F47" w14:textId="77777777" w:rsidR="004F6B5B" w:rsidRPr="00C61E3A" w:rsidRDefault="004F6B5B" w:rsidP="004F6B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E3A">
        <w:rPr>
          <w:rFonts w:ascii="Times New Roman" w:hAnsi="Times New Roman" w:cs="Times New Roman"/>
          <w:b/>
          <w:bCs/>
          <w:sz w:val="24"/>
          <w:szCs w:val="24"/>
        </w:rPr>
        <w:t>6. Conclusão</w:t>
      </w:r>
    </w:p>
    <w:p w14:paraId="44486385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5F63E" w14:textId="77777777" w:rsidR="000835AD" w:rsidRPr="000835AD" w:rsidRDefault="004F6B5B" w:rsidP="000835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1F8">
        <w:rPr>
          <w:rFonts w:ascii="Times New Roman" w:hAnsi="Times New Roman" w:cs="Times New Roman"/>
          <w:sz w:val="24"/>
          <w:szCs w:val="24"/>
        </w:rPr>
        <w:tab/>
      </w:r>
      <w:r w:rsidR="000835AD" w:rsidRPr="000835AD">
        <w:rPr>
          <w:rFonts w:ascii="Times New Roman" w:hAnsi="Times New Roman" w:cs="Times New Roman"/>
          <w:sz w:val="24"/>
          <w:szCs w:val="24"/>
        </w:rPr>
        <w:t xml:space="preserve">A adoção inicial de Monólito Modular com DDD e arquitetura Hexagonal, sustentada por TDD e CI/CD, alinha teoria e prática ao oferecer clareza de domínio, </w:t>
      </w:r>
      <w:proofErr w:type="spellStart"/>
      <w:r w:rsidR="000835AD" w:rsidRPr="000835AD">
        <w:rPr>
          <w:rFonts w:ascii="Times New Roman" w:hAnsi="Times New Roman" w:cs="Times New Roman"/>
          <w:sz w:val="24"/>
          <w:szCs w:val="24"/>
        </w:rPr>
        <w:t>testabilidade</w:t>
      </w:r>
      <w:proofErr w:type="spellEnd"/>
      <w:r w:rsidR="000835AD" w:rsidRPr="000835AD">
        <w:rPr>
          <w:rFonts w:ascii="Times New Roman" w:hAnsi="Times New Roman" w:cs="Times New Roman"/>
          <w:sz w:val="24"/>
          <w:szCs w:val="24"/>
        </w:rPr>
        <w:t xml:space="preserve"> e evolução controlada, conforme a orientação clássica de domínio e isolamento de detalhes tecnológicos (EVANS, 2004; MARTIN, 2017). Essa base reduz acoplamento, com </w:t>
      </w:r>
      <w:proofErr w:type="spellStart"/>
      <w:r w:rsidR="000835AD" w:rsidRPr="000835AD">
        <w:rPr>
          <w:rFonts w:ascii="Times New Roman" w:hAnsi="Times New Roman" w:cs="Times New Roman"/>
          <w:sz w:val="24"/>
          <w:szCs w:val="24"/>
        </w:rPr>
        <w:t>Bounded</w:t>
      </w:r>
      <w:proofErr w:type="spellEnd"/>
      <w:r w:rsidR="000835AD" w:rsidRPr="00083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5AD" w:rsidRPr="000835AD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="000835AD" w:rsidRPr="000835AD">
        <w:rPr>
          <w:rFonts w:ascii="Times New Roman" w:hAnsi="Times New Roman" w:cs="Times New Roman"/>
          <w:sz w:val="24"/>
          <w:szCs w:val="24"/>
        </w:rPr>
        <w:t xml:space="preserve">, eventos de domínio, Sagas e </w:t>
      </w:r>
      <w:proofErr w:type="spellStart"/>
      <w:r w:rsidR="000835AD" w:rsidRPr="000835AD">
        <w:rPr>
          <w:rFonts w:ascii="Times New Roman" w:hAnsi="Times New Roman" w:cs="Times New Roman"/>
          <w:sz w:val="24"/>
          <w:szCs w:val="24"/>
        </w:rPr>
        <w:t>Outbox</w:t>
      </w:r>
      <w:proofErr w:type="spellEnd"/>
      <w:r w:rsidR="000835AD" w:rsidRPr="000835AD">
        <w:rPr>
          <w:rFonts w:ascii="Times New Roman" w:hAnsi="Times New Roman" w:cs="Times New Roman"/>
          <w:sz w:val="24"/>
          <w:szCs w:val="24"/>
        </w:rPr>
        <w:t>, e protege a integridade do negócio diante de integrações críticas.</w:t>
      </w:r>
    </w:p>
    <w:p w14:paraId="7A446A4F" w14:textId="46C9CE5B" w:rsidR="000835AD" w:rsidRPr="000835AD" w:rsidRDefault="000835AD" w:rsidP="000835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835AD">
        <w:rPr>
          <w:rFonts w:ascii="Times New Roman" w:hAnsi="Times New Roman" w:cs="Times New Roman"/>
          <w:sz w:val="24"/>
          <w:szCs w:val="24"/>
        </w:rPr>
        <w:t xml:space="preserve">Nossa intenção arquitetural é evoluir para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microsserviços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 xml:space="preserve"> quando as métricas de uso e desempenho justificarem, o que permite escalabilidade por domínio, maior resiliência por isolamento de falhas e autonomia de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 xml:space="preserve"> por equipe, apoiando também o uso de serviços gerenciados em nuvem para ampliar o alcance global, reduzir o tempo de provisionamento e minimizar a complexidade inicial de configuração (NEWMAN, 2021; RICHARDS; FORD, 2020).</w:t>
      </w:r>
    </w:p>
    <w:p w14:paraId="2DAF44F9" w14:textId="46FE6302" w:rsidR="000835AD" w:rsidRPr="000835AD" w:rsidRDefault="000835AD" w:rsidP="000835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835AD">
        <w:rPr>
          <w:rFonts w:ascii="Times New Roman" w:hAnsi="Times New Roman" w:cs="Times New Roman"/>
          <w:sz w:val="24"/>
          <w:szCs w:val="24"/>
        </w:rPr>
        <w:t xml:space="preserve">Além disso, adotamos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GitFlow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branches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 xml:space="preserve"> main,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 xml:space="preserve">/*, release/* e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hotfix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>/* para organizar a evolução do código e orquestrar integrações com previsibilidade. A cada push/PR, o pipeline de CI/CD executa build, testes automatizados (unitários, integração e contratos), análise estática e segurança, empacotamento Docker e publicação por ambiente com aprovações quando necessário, prática que sustenta entregas frequentes e seguras (HUMBLE; FARLEY, 2010).</w:t>
      </w:r>
    </w:p>
    <w:p w14:paraId="3E983334" w14:textId="4B745FF4" w:rsidR="004F6B5B" w:rsidRDefault="000835AD" w:rsidP="000835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835AD">
        <w:rPr>
          <w:rFonts w:ascii="Times New Roman" w:hAnsi="Times New Roman" w:cs="Times New Roman"/>
          <w:sz w:val="24"/>
          <w:szCs w:val="24"/>
        </w:rPr>
        <w:t xml:space="preserve">Com observabilidade integrada ao pipeline, incluindo logs, métricas e rastreamento distribuído, e com um plano de testes que equilibra verificação, validação e requisitos não funcionais de desempenho e segurança, mantemos um ciclo de entrega confiável. Em síntese, começamos simples para aprender rápido com usuários reais e preservamos caminhos explícitos de escala, passando do monólito modular para </w:t>
      </w:r>
      <w:proofErr w:type="spellStart"/>
      <w:r w:rsidRPr="000835AD">
        <w:rPr>
          <w:rFonts w:ascii="Times New Roman" w:hAnsi="Times New Roman" w:cs="Times New Roman"/>
          <w:sz w:val="24"/>
          <w:szCs w:val="24"/>
        </w:rPr>
        <w:t>microsserviços</w:t>
      </w:r>
      <w:proofErr w:type="spellEnd"/>
      <w:r w:rsidRPr="000835AD">
        <w:rPr>
          <w:rFonts w:ascii="Times New Roman" w:hAnsi="Times New Roman" w:cs="Times New Roman"/>
          <w:sz w:val="24"/>
          <w:szCs w:val="24"/>
        </w:rPr>
        <w:t xml:space="preserve"> na nuvem conforme o produto e a demanda evoluem.</w:t>
      </w:r>
    </w:p>
    <w:p w14:paraId="4A91E5B0" w14:textId="5A2566CE" w:rsidR="000835AD" w:rsidRDefault="000835AD" w:rsidP="000835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5CCD1" w14:textId="77777777" w:rsidR="000835AD" w:rsidRDefault="000835AD" w:rsidP="000835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12B47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lastRenderedPageBreak/>
        <w:t>Referências</w:t>
      </w:r>
    </w:p>
    <w:p w14:paraId="12163762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>BECK, K. Test-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Driven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Development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By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Example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. Boston: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Addison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-Wesley, 2003.</w:t>
      </w:r>
    </w:p>
    <w:p w14:paraId="7957765A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BROWN, S. Software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Architecture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for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Developers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. 2. ed. London: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Leanpub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, 2018.</w:t>
      </w:r>
    </w:p>
    <w:p w14:paraId="2B644D0A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CORRÊA, D. A. Projeto, implementação e teste de software. Florianópolis: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Arqué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, 2025. Unidade 1, p. 8–26; Unidade 2, p. 28–43; Unidade 4, p. 118–137; Unidade 5, p. 164–183.</w:t>
      </w:r>
    </w:p>
    <w:p w14:paraId="41EC334D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>EVANS, E. Domain-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Driven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Design: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Tackling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Complexity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in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the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Heart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of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Software. Boston: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Addison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-Wesley, 2004.</w:t>
      </w:r>
    </w:p>
    <w:p w14:paraId="1D78F36E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>FILHO, W. de P. P. Engenharia de Software – Produtos. 4. ed. Rio de Janeiro: LTC, 2019.</w:t>
      </w:r>
    </w:p>
    <w:p w14:paraId="441F905D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GAMMA, E. et al. Design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Patterns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Elements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of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Reusable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Object-Oriented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Software. Boston: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Addison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-Wesley, 1994.</w:t>
      </w:r>
    </w:p>
    <w:p w14:paraId="09F20B9E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>GONÇALVES, P. de F. et al. Testes de software e gerência de configuração. Porto Alegre: Grupo A, 2019.</w:t>
      </w:r>
    </w:p>
    <w:p w14:paraId="25B458FC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GUEDES, G. T. A. UML 2: uma abordagem prática. 2. ed. São Paulo: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Novatec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, 2011.</w:t>
      </w:r>
    </w:p>
    <w:p w14:paraId="12C671F3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HUMBLE, J.; FARLEY, D.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Continuous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Delivery. Boston: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Addison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-Wesley, 2010.</w:t>
      </w:r>
    </w:p>
    <w:p w14:paraId="620E25CE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ISO/IEC. ISO/IEC 25010: Systems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and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Software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Quality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Requirements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and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Evaluation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(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SQuaRE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). Geneva: ISO, 2011.</w:t>
      </w:r>
    </w:p>
    <w:p w14:paraId="53CD4852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KLEPPMANN, M.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Designing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Data-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Intensive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Applications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. Sebastopol: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O’Reilly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, 2017.</w:t>
      </w:r>
    </w:p>
    <w:p w14:paraId="055C4EA1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MARTIN, R. C. Clean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Architecture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. Boston: Prentice Hall, 2017.</w:t>
      </w:r>
    </w:p>
    <w:p w14:paraId="41412BFD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NEWMAN, S. Building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Microservices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. 2. ed. Sebastopol: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O’Reilly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, 2021.</w:t>
      </w:r>
    </w:p>
    <w:p w14:paraId="7C4156E8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OWASP FOUNDATION.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Application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Security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Verification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Standard (ASVS) v4.0. 2021. Disponível em: </w:t>
      </w:r>
      <w:hyperlink r:id="rId16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  <w:lang w:bidi="ar-SA"/>
          </w:rPr>
          <w:t>https://owasp.org/www-project-application-security-verification-standard/</w:t>
        </w:r>
      </w:hyperlink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Acesso em: 19 set. 2025.</w:t>
      </w:r>
    </w:p>
    <w:p w14:paraId="71B005DA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OWASP FOUNDATION. OWASP Top 10 – 2021. 2021. Disponível em: </w:t>
      </w:r>
      <w:hyperlink r:id="rId17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  <w:lang w:bidi="ar-SA"/>
          </w:rPr>
          <w:t>https://owasp.org/Top10/</w:t>
        </w:r>
      </w:hyperlink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Acesso em: 19 set. 2025.</w:t>
      </w:r>
    </w:p>
    <w:p w14:paraId="08DD7AE7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>PRESSMAN, R. S.; MAXIM, B. R. Engenharia de software: uma abordagem profissional. 8. ed. Porto Alegre: AMGH, 2016.</w:t>
      </w:r>
    </w:p>
    <w:p w14:paraId="33C0A964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lastRenderedPageBreak/>
        <w:t xml:space="preserve">RICHARDS, M.; FORD, N. Fundamentals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of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Software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Architecture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. Sebastopol: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O’Reilly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>, 2020.</w:t>
      </w:r>
    </w:p>
    <w:p w14:paraId="012F2105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>Fontes de figuras (web)</w:t>
      </w:r>
    </w:p>
    <w:p w14:paraId="08127F6E" w14:textId="77777777" w:rsidR="004F6B5B" w:rsidRPr="009971B3" w:rsidRDefault="004F6B5B" w:rsidP="004F6B5B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DIO. Testes unitários em Java com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JUnit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5. Disponível em: </w:t>
      </w:r>
      <w:hyperlink r:id="rId18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  <w:lang w:bidi="ar-SA"/>
          </w:rPr>
          <w:t>https://www.dio.me/articles/testes-unitarios-em-java-com-junit-5</w:t>
        </w:r>
      </w:hyperlink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Acesso em: 19 set. 2025.</w:t>
      </w:r>
    </w:p>
    <w:p w14:paraId="48AF64CC" w14:textId="77777777" w:rsidR="004F6B5B" w:rsidRPr="00F601F8" w:rsidRDefault="004F6B5B" w:rsidP="004F6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FLASHBLACK.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Developing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Modular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Monolith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vs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Traditional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Monolith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in Software Engineering – Pros </w:t>
      </w:r>
      <w:proofErr w:type="spellStart"/>
      <w:r w:rsidRPr="009971B3">
        <w:rPr>
          <w:rFonts w:ascii="Times New Roman" w:hAnsi="Times New Roman" w:cs="Times New Roman"/>
          <w:sz w:val="24"/>
          <w:szCs w:val="24"/>
          <w:lang w:bidi="ar-SA"/>
        </w:rPr>
        <w:t>and</w:t>
      </w:r>
      <w:proofErr w:type="spellEnd"/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Cons. DEV Community. Disponível em: </w:t>
      </w:r>
      <w:hyperlink r:id="rId19" w:history="1">
        <w:r w:rsidRPr="009971B3">
          <w:rPr>
            <w:rStyle w:val="Hyperlink"/>
            <w:rFonts w:ascii="Times New Roman" w:hAnsi="Times New Roman" w:cs="Times New Roman"/>
            <w:sz w:val="24"/>
            <w:szCs w:val="24"/>
            <w:lang w:bidi="ar-SA"/>
          </w:rPr>
          <w:t>https://dev.to/flashblack/developing-modular-monolith-vs-traditional-monolith-in-software-engineering-pros-and-cons-p61</w:t>
        </w:r>
      </w:hyperlink>
      <w:r w:rsidRPr="009971B3">
        <w:rPr>
          <w:rFonts w:ascii="Times New Roman" w:hAnsi="Times New Roman" w:cs="Times New Roman"/>
          <w:sz w:val="24"/>
          <w:szCs w:val="24"/>
          <w:lang w:bidi="ar-SA"/>
        </w:rPr>
        <w:t xml:space="preserve"> Acesso em: 19 set. 2025.</w:t>
      </w:r>
    </w:p>
    <w:p w14:paraId="3969BD2F" w14:textId="421239A6" w:rsidR="00A50CBF" w:rsidRPr="00EF33F9" w:rsidRDefault="00A50CBF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A50CBF" w:rsidRPr="00EF33F9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970A19" w14:textId="77777777" w:rsidR="00095B9D" w:rsidRDefault="00095B9D">
      <w:pPr>
        <w:spacing w:line="240" w:lineRule="auto"/>
      </w:pPr>
      <w:r>
        <w:separator/>
      </w:r>
    </w:p>
  </w:endnote>
  <w:endnote w:type="continuationSeparator" w:id="0">
    <w:p w14:paraId="6139AA03" w14:textId="77777777" w:rsidR="00095B9D" w:rsidRDefault="00095B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81CE91" w14:textId="77777777" w:rsidR="00095B9D" w:rsidRDefault="00095B9D">
      <w:pPr>
        <w:spacing w:line="240" w:lineRule="auto"/>
      </w:pPr>
      <w:r>
        <w:separator/>
      </w:r>
    </w:p>
  </w:footnote>
  <w:footnote w:type="continuationSeparator" w:id="0">
    <w:p w14:paraId="4152DF81" w14:textId="77777777" w:rsidR="00095B9D" w:rsidRDefault="00095B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D94226"/>
    <w:multiLevelType w:val="hybridMultilevel"/>
    <w:tmpl w:val="3C6A21FE"/>
    <w:lvl w:ilvl="0" w:tplc="246CCC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835AD"/>
    <w:rsid w:val="00095B9D"/>
    <w:rsid w:val="00141979"/>
    <w:rsid w:val="002F3B7A"/>
    <w:rsid w:val="00304301"/>
    <w:rsid w:val="00314279"/>
    <w:rsid w:val="0036554B"/>
    <w:rsid w:val="003D02F9"/>
    <w:rsid w:val="00490CD9"/>
    <w:rsid w:val="004B6989"/>
    <w:rsid w:val="004F6B5B"/>
    <w:rsid w:val="0061384F"/>
    <w:rsid w:val="006C1289"/>
    <w:rsid w:val="00820B55"/>
    <w:rsid w:val="00854B99"/>
    <w:rsid w:val="00884F51"/>
    <w:rsid w:val="00984A0E"/>
    <w:rsid w:val="00A50CBF"/>
    <w:rsid w:val="00B42B53"/>
    <w:rsid w:val="00BF37D1"/>
    <w:rsid w:val="00C42C1D"/>
    <w:rsid w:val="00DD3D27"/>
    <w:rsid w:val="00E05D32"/>
    <w:rsid w:val="00EA204A"/>
    <w:rsid w:val="00EF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F6B5B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F6B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marcdias.com.br" TargetMode="External"/><Relationship Id="rId18" Type="http://schemas.openxmlformats.org/officeDocument/2006/relationships/hyperlink" Target="https://www.dio.me/articles/testes-unitarios-em-java-com-junit-5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hyperlink" Target="https://owasp.org/Top1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wasp.org/www-project-application-security-verification-standard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igosimples.ne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io.me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ev.to/flashblack/developing-modular-monolith-vs-traditional-monolith-in-software-engineering-pros-and-cons-p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to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2970</Words>
  <Characters>16043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marcelo</cp:lastModifiedBy>
  <cp:revision>6</cp:revision>
  <dcterms:created xsi:type="dcterms:W3CDTF">2025-07-21T11:21:00Z</dcterms:created>
  <dcterms:modified xsi:type="dcterms:W3CDTF">2025-09-20T14:44:00Z</dcterms:modified>
</cp:coreProperties>
</file>