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FF94D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ATIVIDADE MAPA – PROJETO, IMPLEMENTAÇÃO E TESTE DE SOFTWARE – 53_2025</w:t>
      </w:r>
    </w:p>
    <w:p w14:paraId="6F7BE519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720E33" w14:textId="1A36A078" w:rsidR="00C51EDD" w:rsidRPr="00F601F8" w:rsidRDefault="009971B3" w:rsidP="00F601F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Douglas Marcelo Monquero</w:t>
      </w:r>
    </w:p>
    <w:p w14:paraId="4397A2C1" w14:textId="0B37A265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Pr="00F601F8">
        <w:rPr>
          <w:rFonts w:ascii="Times New Roman" w:hAnsi="Times New Roman" w:cs="Times New Roman"/>
          <w:sz w:val="24"/>
          <w:szCs w:val="24"/>
        </w:rPr>
        <w:t>Este projeto busca construir um sistema de gestão de eventos híbridos que seja útil no dia a dia de organizadores e participantes e que também se sustente tecnicamente. Adotamos um plano que visa clareza do problema, simplicidade operacional no início e capacidade de evoluir quando a demanda crescer. A literatura de Engenharia de Software lembra que arquitetura é o conjunto de decisões que mais influenciam qualidade, custo e risco ao longo do ciclo de vida (PRESSMAN; MAXIM, 2016; FILHO, 2019). Por isso, cada escolha abaixo é explicada a partir de conceitos, termos e práticas amplamente aceitos no mercado.</w:t>
      </w:r>
    </w:p>
    <w:p w14:paraId="2B4B92FE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2DBB0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1. Análise e Projeto de Software</w:t>
      </w:r>
    </w:p>
    <w:p w14:paraId="3EC2B85E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7C849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Os requisitos funcionais (autenticação, criação/gestão de eventos, inscrições/pagamentos, transmissão ao vivo, certificados, dashboard e networking) traduzem necessidades de negócio em capacidades verificáveis. Os requisitos não funcionais (manutenibilidade, segurança/LGPD, desempenho para picos, interoperabilidade com APIs e portabilidade) definem como o sistema deve se comportar, mesmo diante de mudanças no entorno.</w:t>
      </w:r>
    </w:p>
    <w:p w14:paraId="443B8611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930315" w14:textId="705DA0CE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Pr="00F601F8">
        <w:rPr>
          <w:rFonts w:ascii="Times New Roman" w:hAnsi="Times New Roman" w:cs="Times New Roman"/>
          <w:sz w:val="24"/>
          <w:szCs w:val="24"/>
        </w:rPr>
        <w:t>Para alinhar todos os envolvidos, usamos casos de uso: uma forma visual e textual de descrever o objetivo do usuário e o valor que o sistema entrega em cada interação. Em UML, o diagrama atua como um “contrato de entendimento” entre áreas técnicas e não técnicas, facilitando o diálogo e orientando testes futuros (GUEDES, 2011). Aqui, por exemplo, “Realizar inscrição” inclui “Processar pagamento”; “Assistir evento online” pode estender “Interagir no chat ao vivo”.</w:t>
      </w:r>
    </w:p>
    <w:p w14:paraId="34EA0C5B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E8BCBA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Requisitos funcionais</w:t>
      </w:r>
    </w:p>
    <w:p w14:paraId="289CF1DB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A95BDA" w14:textId="52EEEDCE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RF01: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permitir cadastro e autenticação de organizadores e participantes.</w:t>
      </w:r>
    </w:p>
    <w:p w14:paraId="6D57651C" w14:textId="0576242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RF02: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possibilitar a criação e gestão de eventos presenciais, virtuais e híbridos.</w:t>
      </w:r>
    </w:p>
    <w:p w14:paraId="36F2F743" w14:textId="2055AF9B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RF03: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processar inscrições com múltiplas modalidades de pagamento.</w:t>
      </w:r>
    </w:p>
    <w:p w14:paraId="256CE41E" w14:textId="123E9312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RF04: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oferecer transmissão ao vivo integrada.</w:t>
      </w:r>
    </w:p>
    <w:p w14:paraId="65CC46AB" w14:textId="059CD124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RF05: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realizar a emissão automática de certificados para os participantes após o término do evento.</w:t>
      </w:r>
    </w:p>
    <w:p w14:paraId="26A5695C" w14:textId="6C0FFD02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RF06: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fornecer dashboard analítico.</w:t>
      </w:r>
    </w:p>
    <w:p w14:paraId="32C7A6EB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RF07: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oferecer recursos de networking entre participantes.</w:t>
      </w:r>
    </w:p>
    <w:p w14:paraId="305B5D90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212F22" w14:textId="407A9B5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Pr="00F601F8">
        <w:rPr>
          <w:rFonts w:ascii="Times New Roman" w:hAnsi="Times New Roman" w:cs="Times New Roman"/>
          <w:sz w:val="24"/>
          <w:szCs w:val="24"/>
        </w:rPr>
        <w:t>Tais requisitos devem ser capturados com clareza e rastreabilidade para orientar a arquitetura e os testes (FILHO, 2019).</w:t>
      </w:r>
    </w:p>
    <w:p w14:paraId="601A12AD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941AA" w14:textId="3C6A3900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Requisitos não funcionais</w:t>
      </w:r>
    </w:p>
    <w:p w14:paraId="0D60B120" w14:textId="521997D4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RNF01</w:t>
      </w:r>
      <w:r w:rsidRPr="00F601F8">
        <w:rPr>
          <w:rFonts w:ascii="Times New Roman" w:hAnsi="Times New Roman" w:cs="Times New Roman"/>
          <w:sz w:val="24"/>
          <w:szCs w:val="24"/>
        </w:rPr>
        <w:t>: Manutenibilidade (alta coesão e baixo acoplamento).</w:t>
      </w:r>
    </w:p>
    <w:p w14:paraId="7BA455B3" w14:textId="3AE29042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RNF02:</w:t>
      </w:r>
      <w:r w:rsidRPr="00F601F8">
        <w:rPr>
          <w:rFonts w:ascii="Times New Roman" w:hAnsi="Times New Roman" w:cs="Times New Roman"/>
          <w:sz w:val="24"/>
          <w:szCs w:val="24"/>
        </w:rPr>
        <w:t xml:space="preserve"> Segurança e privacidade (LGPD, criptografia, controle de acesso).</w:t>
      </w:r>
    </w:p>
    <w:p w14:paraId="34704421" w14:textId="2FCDBDED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RNF03:</w:t>
      </w:r>
      <w:r w:rsidRPr="00F601F8">
        <w:rPr>
          <w:rFonts w:ascii="Times New Roman" w:hAnsi="Times New Roman" w:cs="Times New Roman"/>
          <w:sz w:val="24"/>
          <w:szCs w:val="24"/>
        </w:rPr>
        <w:t xml:space="preserve"> Desempenho — o sistema deve suportar 50.000 usuários simultâneos com tempo de resposta inferior a 3 segundos.</w:t>
      </w:r>
    </w:p>
    <w:p w14:paraId="5D1C30D6" w14:textId="02FC0C8F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RNF04:</w:t>
      </w:r>
      <w:r w:rsidRPr="00F601F8">
        <w:rPr>
          <w:rFonts w:ascii="Times New Roman" w:hAnsi="Times New Roman" w:cs="Times New Roman"/>
          <w:sz w:val="24"/>
          <w:szCs w:val="24"/>
        </w:rPr>
        <w:t xml:space="preserve"> Escalabilidade — a arquitetura deve permitir expansão horizontal para crescimento futuro.</w:t>
      </w:r>
    </w:p>
    <w:p w14:paraId="61274672" w14:textId="1A7A8D2A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RNF05:</w:t>
      </w:r>
      <w:r w:rsidRPr="00F601F8">
        <w:rPr>
          <w:rFonts w:ascii="Times New Roman" w:hAnsi="Times New Roman" w:cs="Times New Roman"/>
          <w:sz w:val="24"/>
          <w:szCs w:val="24"/>
        </w:rPr>
        <w:t xml:space="preserve"> Compatibilidade/interoperabilidade (múltiplas APIs externas).</w:t>
      </w:r>
    </w:p>
    <w:p w14:paraId="67533404" w14:textId="39B07480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RNF06:</w:t>
      </w:r>
      <w:r w:rsidRPr="00F601F8">
        <w:rPr>
          <w:rFonts w:ascii="Times New Roman" w:hAnsi="Times New Roman" w:cs="Times New Roman"/>
          <w:sz w:val="24"/>
          <w:szCs w:val="24"/>
        </w:rPr>
        <w:t xml:space="preserve"> Portabilidade/observabilidade (logs, métricas e rastreamento).</w:t>
      </w:r>
    </w:p>
    <w:p w14:paraId="4172199B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12C90" w14:textId="5646B1E1" w:rsidR="00C51EDD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Pr="00F601F8">
        <w:rPr>
          <w:rFonts w:ascii="Times New Roman" w:hAnsi="Times New Roman" w:cs="Times New Roman"/>
          <w:sz w:val="24"/>
          <w:szCs w:val="24"/>
        </w:rPr>
        <w:t xml:space="preserve">Quanto aos requisitos não funcionais, destacam-se atributos alinhados ao modelo de qualidade ISO/IEC 25010 (ISO/IEC, 2011) e à abordagem de qualidade proposta pela </w:t>
      </w:r>
      <w:r w:rsidRPr="00F601F8">
        <w:rPr>
          <w:rFonts w:ascii="Times New Roman" w:hAnsi="Times New Roman" w:cs="Times New Roman"/>
          <w:sz w:val="24"/>
          <w:szCs w:val="24"/>
        </w:rPr>
        <w:lastRenderedPageBreak/>
        <w:t>literatura clássica (PRESSMAN; MAXIM, 2016). Requisitos definem o quê entregar; casos de uso expressam como cada ator alcança esse valor (GUEDES, 2011).</w:t>
      </w:r>
    </w:p>
    <w:p w14:paraId="7122D835" w14:textId="77777777" w:rsidR="00620894" w:rsidRPr="00F601F8" w:rsidRDefault="00620894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B85F7" w14:textId="0C08CD2E" w:rsidR="00C51EDD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2. Atores e Casos de Uso</w:t>
      </w:r>
    </w:p>
    <w:p w14:paraId="48B40EF0" w14:textId="77777777" w:rsidR="00620894" w:rsidRPr="00F601F8" w:rsidRDefault="00620894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AF2295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Atores principais: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Organizador, Participante, Administrador.</w:t>
      </w:r>
    </w:p>
    <w:p w14:paraId="1A5B2F85" w14:textId="5DA7AEE4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Atores externos:</w:t>
      </w:r>
      <w:r w:rsidRPr="00F601F8">
        <w:rPr>
          <w:rFonts w:ascii="Times New Roman" w:hAnsi="Times New Roman" w:cs="Times New Roman"/>
          <w:sz w:val="24"/>
          <w:szCs w:val="24"/>
        </w:rPr>
        <w:t xml:space="preserve"> Gateway de Pagamento, Plataforma de Streaming, Serviço de Certificação, Serviço de E-mail/Notificações.</w:t>
      </w:r>
      <w:r w:rsidRPr="00F601F8">
        <w:rPr>
          <w:rFonts w:ascii="Times New Roman" w:hAnsi="Times New Roman" w:cs="Times New Roman"/>
          <w:sz w:val="24"/>
          <w:szCs w:val="24"/>
        </w:rPr>
        <w:tab/>
      </w:r>
    </w:p>
    <w:p w14:paraId="412DCAC4" w14:textId="14C8A5D6" w:rsidR="00C51EDD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8EB40B" wp14:editId="42721687">
            <wp:extent cx="4611108" cy="54292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754" cy="551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7936" w14:textId="7EEF6620" w:rsidR="00C51EDD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Figura 01 – Diagrama de caso de uso.</w:t>
      </w:r>
    </w:p>
    <w:p w14:paraId="36A9FBA9" w14:textId="77777777" w:rsidR="00C51EDD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Fonte: elaboração própria.</w:t>
      </w:r>
    </w:p>
    <w:p w14:paraId="32286394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79D208" w14:textId="77777777" w:rsidR="00620894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</w:p>
    <w:p w14:paraId="2AF500F7" w14:textId="7A464B6E" w:rsidR="00620894" w:rsidRDefault="00620894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601F8">
        <w:rPr>
          <w:rFonts w:ascii="Times New Roman" w:hAnsi="Times New Roman" w:cs="Times New Roman"/>
          <w:sz w:val="24"/>
          <w:szCs w:val="24"/>
        </w:rPr>
        <w:t>Casos de uso nucleares incluem: o Organizador autentica-se, cria e publica o evento (agenda/sessões), gerencia inscrições/pagamentos, acompanha métricas e emite certificados; o Participante registra-se, paga, assiste à transmissão ao vivo e obtém certificado; o Administrador governa usuários, auditorias e integrações.</w:t>
      </w:r>
    </w:p>
    <w:p w14:paraId="5280EECB" w14:textId="75C8ACD9" w:rsidR="00C51EDD" w:rsidRPr="00F601F8" w:rsidRDefault="00620894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Segundo Guedes (2011), o diagrama de casos de uso concentra-se em atores e casos de uso; atores podem ser usuários humanos ou entes externos (serviços/hardware) que interajam com o software.</w:t>
      </w:r>
    </w:p>
    <w:p w14:paraId="3755CD45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B09CA4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Atores Primários (humanos)</w:t>
      </w:r>
    </w:p>
    <w:p w14:paraId="1F7631D9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1282D7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a) Organizador de Eventos b) Participante c) Administrador do Sistema</w:t>
      </w:r>
    </w:p>
    <w:p w14:paraId="4FFCDEAF" w14:textId="41359E9B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Atores Secundários (sistemas externos)</w:t>
      </w:r>
    </w:p>
    <w:p w14:paraId="32F7AE8D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F01BEE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a) API de Pagamento b) API de Streaming c) API de Certificação</w:t>
      </w:r>
    </w:p>
    <w:p w14:paraId="306C68F5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033D45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2.2. Casos de uso</w:t>
      </w:r>
    </w:p>
    <w:p w14:paraId="795257BB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FC8EB4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Autenticação</w:t>
      </w:r>
    </w:p>
    <w:p w14:paraId="01FB6D48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UC01: Realizar Login UC02: Cadastrar Usuário UC03: Recuperar Senha UC04: Gerenciar Perfil</w:t>
      </w:r>
    </w:p>
    <w:p w14:paraId="259C0720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CA114B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Gestão de Eventos</w:t>
      </w:r>
    </w:p>
    <w:p w14:paraId="1C2BDB2A" w14:textId="2577A123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UC05: Criar Evento UC06: Editar Evento UC07: Configurar Evento Híbrido UC08: Publicar Evento UC09: Gerenciar Agenda</w:t>
      </w:r>
    </w:p>
    <w:p w14:paraId="5983ADF4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lastRenderedPageBreak/>
        <w:t>Módulo de Inscrições</w:t>
      </w:r>
    </w:p>
    <w:p w14:paraId="634C7E77" w14:textId="796D945A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UC10: Realizar Inscrição UC11: Processar Pagamento UC12: Cancelar Inscrição UC13: Validar Participação</w:t>
      </w:r>
    </w:p>
    <w:p w14:paraId="089C9777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Transmissão</w:t>
      </w:r>
    </w:p>
    <w:p w14:paraId="05C89DD3" w14:textId="7BE13C53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UC14: Iniciar Transmissão UC15: Assistir Evento Online UC16: Gerenciar Chat ao Vivo UC17: Gravar Evento</w:t>
      </w:r>
    </w:p>
    <w:p w14:paraId="7C5B6205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Certificação</w:t>
      </w:r>
    </w:p>
    <w:p w14:paraId="2FC384E0" w14:textId="0AD43145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UC18: Gerar Certificado Digital UC19: Verificar Autenticidade UC20: Enviar Certificado</w:t>
      </w:r>
    </w:p>
    <w:p w14:paraId="7ACD5DA3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Analytics</w:t>
      </w:r>
    </w:p>
    <w:p w14:paraId="71A23A6D" w14:textId="0972D3F3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UC21: Visualizar Dashboard UC22: Gerar Relatórios UC23: Monitorar Participação</w:t>
      </w:r>
    </w:p>
    <w:p w14:paraId="77A85B49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Networking</w:t>
      </w:r>
    </w:p>
    <w:p w14:paraId="20B4522B" w14:textId="1539C761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UC24: Conectar Participantes UC25: Enviar Mensagens UC26: Criar Salas Virtuais</w:t>
      </w:r>
    </w:p>
    <w:p w14:paraId="40C0F89D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Administração</w:t>
      </w:r>
    </w:p>
    <w:p w14:paraId="336B449E" w14:textId="4B11FF95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UC27: Gerenciar Usuários UC28: Configurar Sistema UC29: Aplicar Políticas LGPD UC30: Monitorar Performance</w:t>
      </w:r>
    </w:p>
    <w:p w14:paraId="012C3823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438D7" w14:textId="0CBB1BF5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Mapeamento de participações (exemplos):</w:t>
      </w:r>
    </w:p>
    <w:p w14:paraId="2F7568F9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48DC44" w14:textId="51F5DADA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Organizador de Eventos:</w:t>
      </w:r>
      <w:r w:rsidRPr="00F601F8">
        <w:rPr>
          <w:rFonts w:ascii="Times New Roman" w:hAnsi="Times New Roman" w:cs="Times New Roman"/>
          <w:sz w:val="24"/>
          <w:szCs w:val="24"/>
        </w:rPr>
        <w:t xml:space="preserve"> UC01–UC04, UC05–UC09, UC13, UC14/UC16/UC17, UC18/UC20, UC21–UC23.</w:t>
      </w:r>
    </w:p>
    <w:p w14:paraId="7437054D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D34AB0" w14:textId="17310188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Participante:</w:t>
      </w:r>
      <w:r w:rsidRPr="00F601F8">
        <w:rPr>
          <w:rFonts w:ascii="Times New Roman" w:hAnsi="Times New Roman" w:cs="Times New Roman"/>
          <w:sz w:val="24"/>
          <w:szCs w:val="24"/>
        </w:rPr>
        <w:t xml:space="preserve"> UC01–UC04, UC10/UC12, UC15, UC19, UC24–UC26.</w:t>
      </w:r>
    </w:p>
    <w:p w14:paraId="2DE53B8C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2A3C34" w14:textId="0A8957F4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Administrador:</w:t>
      </w:r>
      <w:r w:rsidRPr="00F601F8">
        <w:rPr>
          <w:rFonts w:ascii="Times New Roman" w:hAnsi="Times New Roman" w:cs="Times New Roman"/>
          <w:sz w:val="24"/>
          <w:szCs w:val="24"/>
        </w:rPr>
        <w:t xml:space="preserve"> UC01, UC27–UC30.</w:t>
      </w:r>
    </w:p>
    <w:p w14:paraId="455488A2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0A7E59" w14:textId="4E5D6EEB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lastRenderedPageBreak/>
        <w:t>APIs externas:</w:t>
      </w:r>
      <w:r w:rsidRPr="00F601F8">
        <w:rPr>
          <w:rFonts w:ascii="Times New Roman" w:hAnsi="Times New Roman" w:cs="Times New Roman"/>
          <w:sz w:val="24"/>
          <w:szCs w:val="24"/>
        </w:rPr>
        <w:t xml:space="preserve"> Pagamento (UC11), Streaming (UC14/UC15/UC17), Certificação (UC18–UC20).</w:t>
      </w:r>
    </w:p>
    <w:p w14:paraId="489E11D2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E77EF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2.4. Relacionamentos especiais</w:t>
      </w:r>
    </w:p>
    <w:p w14:paraId="72EBF313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9056E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&lt;&lt;include&gt;&gt;:</w:t>
      </w:r>
    </w:p>
    <w:p w14:paraId="00B22B99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E7D5D5" w14:textId="280EEFAB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UC05 (Criar Evento) inclui UC01 (Realizar Login)</w:t>
      </w:r>
    </w:p>
    <w:p w14:paraId="01701AF8" w14:textId="600D3056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UC10 (Realizar Inscrição) inclui UC11 (Processar Pagamento)</w:t>
      </w:r>
    </w:p>
    <w:p w14:paraId="44C75005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UC18 (Gerar Certificado) inclui UC13 (Validar Participação)</w:t>
      </w:r>
    </w:p>
    <w:p w14:paraId="2D55A4F0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A55750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&lt;&lt;extend&gt;&gt;:</w:t>
      </w:r>
    </w:p>
    <w:p w14:paraId="671386E1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8D57A2" w14:textId="75043C70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UC15 (Assistir Evento Online) estende UC16 (Gerenciar Chat ao Vivo)</w:t>
      </w:r>
    </w:p>
    <w:p w14:paraId="3256AC7A" w14:textId="25723F06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UC14 (Iniciar Transmissão) estende UC17 (Gravar Evento)</w:t>
      </w:r>
    </w:p>
    <w:p w14:paraId="2AE89E73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3A38E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3. Arquitetura e Fundamentação</w:t>
      </w:r>
    </w:p>
    <w:p w14:paraId="6C465341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F4C831" w14:textId="39137061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Pr="00F601F8">
        <w:rPr>
          <w:rFonts w:ascii="Times New Roman" w:hAnsi="Times New Roman" w:cs="Times New Roman"/>
          <w:sz w:val="24"/>
          <w:szCs w:val="24"/>
        </w:rPr>
        <w:t>Arquitetura é, sobretudo, gestão de risco: com equipe pequena e prazo curto, precisamos de algo que ande rápido hoje e permaneça evolutivo amanhã. Em vez de iniciar distribuindo o sistema em muitos serviços e camadas operacionais (o que aumenta custo de coordenação e de observabilidade), adotamos uma forma que privilegia clareza de responsabilidades, testes fáceis e porta aberta para crescer (PRESSMAN; MAXIM, 2016; FILHO, 2019).</w:t>
      </w:r>
    </w:p>
    <w:p w14:paraId="77C76598" w14:textId="77777777" w:rsidR="00C51EDD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C86422" wp14:editId="322A8AFB">
            <wp:extent cx="5261678" cy="2209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749" cy="22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5F9D" w14:textId="77777777" w:rsidR="00C51EDD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Figura 02 – Exemplos de arquitetura (monólito tradicional vs. monólito modular).</w:t>
      </w:r>
    </w:p>
    <w:p w14:paraId="23ABE4BB" w14:textId="542611EE" w:rsidR="004F610E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7" w:history="1">
        <w:r w:rsidRPr="00F601F8">
          <w:rPr>
            <w:rStyle w:val="Hyperlink"/>
            <w:rFonts w:ascii="Times New Roman" w:hAnsi="Times New Roman" w:cs="Times New Roman"/>
            <w:sz w:val="24"/>
            <w:szCs w:val="24"/>
          </w:rPr>
          <w:t>https://dev.to</w:t>
        </w:r>
      </w:hyperlink>
    </w:p>
    <w:p w14:paraId="175EA542" w14:textId="7AC82E53" w:rsidR="00C51EDD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Para acomodar crescimento e autonomia por domínio, definimos como arquitetura-alvo uma evolução para microsserviços, preservando a organização por contextos. Essa opção favorece escalabilidade independente, resiliência por isolamento de falhas, manutenibilidade por equipes atuando por módulo e liberdade tecnológica quando justificado. Enquanto os indicadores de uso não exigirem distribuição, mantemos a operação no monólito modular e extrairemos apenas os módulos com necessidades claras de escala ou cadência de deploy distinta.</w:t>
      </w:r>
    </w:p>
    <w:p w14:paraId="24F689BA" w14:textId="01B43E57" w:rsidR="00C51EDD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Adota-se Monólito Modular com arquitetura em camadas no nível físico (apresentação/aplicação, domínio, infraestrutura) e estilo Hexagonal (Ports &amp; Adapters) no nível lógico, mantendo o Domínio protegido de detalhes de tecnologia (MARTIN, 2017; EVANS, 2004). Em termos práticos: um único executável simplifica a operação; módulos bem separados evitam acoplamento acidental; portas/adaptadores permitem trocar banco, mensageria ou provedores externos sem reescrever regras de negócio (FOWLER, 2015; BROWN, 2018; NEWMAN, 2021).</w:t>
      </w:r>
    </w:p>
    <w:p w14:paraId="210E799E" w14:textId="685B58EF" w:rsidR="00C51EDD" w:rsidRPr="00F601F8" w:rsidRDefault="009971B3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6FAE81" wp14:editId="5B4568BD">
            <wp:extent cx="4572000" cy="2415377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822" cy="242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5C18" w14:textId="77777777" w:rsidR="00C51EDD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Figura 03 – Exemplo de módulos com implantação independente.</w:t>
      </w:r>
    </w:p>
    <w:p w14:paraId="3B73ADDB" w14:textId="1416096A" w:rsidR="00C51EDD" w:rsidRPr="00F601F8" w:rsidRDefault="00C51EDD" w:rsidP="001D28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9" w:history="1">
        <w:r w:rsidRPr="00F601F8">
          <w:rPr>
            <w:rStyle w:val="Hyperlink"/>
            <w:rFonts w:ascii="Times New Roman" w:hAnsi="Times New Roman" w:cs="Times New Roman"/>
            <w:sz w:val="24"/>
            <w:szCs w:val="24"/>
          </w:rPr>
          <w:t>https://codigosimples.net/</w:t>
        </w:r>
      </w:hyperlink>
    </w:p>
    <w:p w14:paraId="53DDBDCF" w14:textId="2C73E1F4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Para manter o foco no que importa, partimos de DDD: dividir o sistema em Bounded Contexts, cada qual com linguagem ubíqua própria (EVANS, 2004):</w:t>
      </w:r>
    </w:p>
    <w:p w14:paraId="0F67060A" w14:textId="5CB94CBE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Identidade &amp; Acesso (autenticação/autorização, RBAC/ABAC)</w:t>
      </w:r>
    </w:p>
    <w:p w14:paraId="2C0641E1" w14:textId="3C57EA65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Eventos (agenda, sessões, palestrantes, locais, fuso/idioma)</w:t>
      </w:r>
    </w:p>
    <w:p w14:paraId="119F3F45" w14:textId="4087E584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Inscrições &amp; Pagamentos (ordens, faturas, webhooks, conciliação)</w:t>
      </w:r>
    </w:p>
    <w:p w14:paraId="4767F515" w14:textId="71909336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Transmissão/Engajamento (provedor de vídeo, chat/Q&amp;A)</w:t>
      </w:r>
    </w:p>
    <w:p w14:paraId="6909E721" w14:textId="3A76C540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Certificação (regras de presença, emissão, verificação por QR)</w:t>
      </w:r>
    </w:p>
    <w:p w14:paraId="38D41522" w14:textId="01B64AEE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Analytics (eventos de produto, KPIs)</w:t>
      </w:r>
    </w:p>
    <w:p w14:paraId="04F1EFC0" w14:textId="0304ED1F" w:rsidR="009971B3" w:rsidRPr="001D2845" w:rsidRDefault="00C51EDD" w:rsidP="00CA448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845">
        <w:rPr>
          <w:rFonts w:ascii="Times New Roman" w:hAnsi="Times New Roman" w:cs="Times New Roman"/>
          <w:sz w:val="24"/>
          <w:szCs w:val="24"/>
        </w:rPr>
        <w:t>Networking (perfis, interesses, matching, mensagens)</w:t>
      </w:r>
    </w:p>
    <w:p w14:paraId="7642DF36" w14:textId="74C472B6" w:rsidR="00C51EDD" w:rsidRPr="00F601F8" w:rsidRDefault="009971B3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71A9F4" wp14:editId="0ACD9EE9">
            <wp:extent cx="3053192" cy="16478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056" cy="169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23CF" w14:textId="77777777" w:rsidR="00C51EDD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Figura 04 – Exemplo de microsserviços.</w:t>
      </w:r>
    </w:p>
    <w:p w14:paraId="204513E4" w14:textId="50875DAF" w:rsidR="00C51EDD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11" w:history="1">
        <w:r w:rsidRPr="00F601F8">
          <w:rPr>
            <w:rStyle w:val="Hyperlink"/>
            <w:rFonts w:ascii="Times New Roman" w:hAnsi="Times New Roman" w:cs="Times New Roman"/>
            <w:sz w:val="24"/>
            <w:szCs w:val="24"/>
          </w:rPr>
          <w:t>https://marcdias.com.br</w:t>
        </w:r>
      </w:hyperlink>
    </w:p>
    <w:p w14:paraId="7421E09B" w14:textId="77777777" w:rsidR="009971B3" w:rsidRPr="00F601F8" w:rsidRDefault="009971B3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0EF987" w14:textId="6B1EA4C4" w:rsidR="00C51EDD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Em cada contexto, modelam-se Entidades, Objetos de Valor, Agregados (com invariantes), Repositórios e Serviços (EVANS, 2004; MARTIN, 2017). Nas integrações com terceiros, uma Anti-Corruption Layer impede “vazamento” de modelos externos (EVANS, 2004).</w:t>
      </w:r>
    </w:p>
    <w:p w14:paraId="15C1A049" w14:textId="0D55FB6F" w:rsidR="00C51EDD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Aplicamos SOLID em cada módulo (MARTIN, 2017): SRP, OCP, LSP, ISP, DIP</w:t>
      </w:r>
      <w:r w:rsidRPr="00F601F8">
        <w:rPr>
          <w:rFonts w:ascii="Times New Roman" w:hAnsi="Times New Roman" w:cs="Times New Roman"/>
          <w:sz w:val="24"/>
          <w:szCs w:val="24"/>
        </w:rPr>
        <w:t xml:space="preserve">, </w:t>
      </w:r>
      <w:r w:rsidR="00C51EDD" w:rsidRPr="00F601F8">
        <w:rPr>
          <w:rFonts w:ascii="Times New Roman" w:hAnsi="Times New Roman" w:cs="Times New Roman"/>
          <w:sz w:val="24"/>
          <w:szCs w:val="24"/>
        </w:rPr>
        <w:t>o domínio depende de abstrações (ports), enquanto detalhes (SDKs, DB) ficam em adapters.</w:t>
      </w:r>
    </w:p>
    <w:p w14:paraId="60499AF7" w14:textId="425420EC" w:rsidR="00C51EDD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Usamos Eventos de Domínio para desacoplar reações a fatos do negócio; Sagas orquestram inscrição e pagamento com ações compensatórias; e Outbox Pattern assegura publicação confiável de eventos e idempotência (KLEPPMANN, 2017; NEWMAN, 2021). Um API Gateway centraliza autenticação, rate limiting, roteamento e observabilidade (RICHARDS; FORD, 2020).</w:t>
      </w:r>
    </w:p>
    <w:p w14:paraId="3E27508F" w14:textId="369B79F0" w:rsidR="00C51EDD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Padrões de projeto: Strategy (políticas de preço), Factory/Abstract Factory (provedores), Adapter (SDKs), Facade (orquestrações), Observer (eventos) (GAMMA et al., 1994).</w:t>
      </w:r>
    </w:p>
    <w:p w14:paraId="054A5193" w14:textId="77777777" w:rsidR="00C51EDD" w:rsidRPr="007F5FCB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FCB">
        <w:rPr>
          <w:rFonts w:ascii="Times New Roman" w:hAnsi="Times New Roman" w:cs="Times New Roman"/>
          <w:b/>
          <w:bCs/>
          <w:sz w:val="24"/>
          <w:szCs w:val="24"/>
        </w:rPr>
        <w:t>Arquitetura Recomendada (alvo) — Microsserviços</w:t>
      </w:r>
    </w:p>
    <w:p w14:paraId="0F2833CC" w14:textId="55CE03C1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Escalabilidade: cada serviço escala independentemente.</w:t>
      </w:r>
    </w:p>
    <w:p w14:paraId="1457BFDA" w14:textId="054EBFFF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Manutenibilidade: equipes atuam por módulo/serviço.</w:t>
      </w:r>
    </w:p>
    <w:p w14:paraId="0567BE27" w14:textId="7B1709EE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Resiliência: falhas isoladas não derrubam o todo.</w:t>
      </w:r>
    </w:p>
    <w:p w14:paraId="77F69B3B" w14:textId="0B039566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Tecnologia heterogênea: liberdade tecnológica por serviço.</w:t>
      </w:r>
    </w:p>
    <w:p w14:paraId="4AAE280F" w14:textId="0A278245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Estratégia: iniciamos em Monólito Modular (simplicidade/observabilidade) com evolução planejada para microsserviços quando métricas de uso/performance exigirem.</w:t>
      </w:r>
    </w:p>
    <w:p w14:paraId="1643AA95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F3D585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4. Estratégia de Implementação</w:t>
      </w:r>
    </w:p>
    <w:p w14:paraId="71531C6A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813DD" w14:textId="05A1B0E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Optamos por uma stack madura: Java + Spring no servidor (produtividade, segurança), React/Next.js no cliente (experiência fluida e i18n), PostgreSQL para dados transacionais e Redis para agilidade. Integrações com pagamento, vídeo e e-mail ficam na borda para </w:t>
      </w:r>
      <w:r w:rsidRPr="00F601F8">
        <w:rPr>
          <w:rFonts w:ascii="Times New Roman" w:hAnsi="Times New Roman" w:cs="Times New Roman"/>
          <w:sz w:val="24"/>
          <w:szCs w:val="24"/>
        </w:rPr>
        <w:lastRenderedPageBreak/>
        <w:t>serem trocadas quando o negócio expandir (FILHO, 2019; PRESSMAN; MAXIM, 2016).</w:t>
      </w:r>
    </w:p>
    <w:p w14:paraId="2CF8FBC7" w14:textId="4FA56023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Back-end (Java 21 + Spring Boot): produtividade, segurança e ecossistema; casos de uso expostos via ports e implementados com adapters REST/DB/filas (MARTIN, 2017).</w:t>
      </w:r>
    </w:p>
    <w:p w14:paraId="30EFC6AD" w14:textId="203CE960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Front-end (React/Next.js): experiência fluida, i18n e acessibilidade.</w:t>
      </w:r>
    </w:p>
    <w:p w14:paraId="648A7BB0" w14:textId="5C275BAF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Dados: PostgreSQL (transações); Redis (cache/sessões); armazenamento de objetos para certificados.</w:t>
      </w:r>
    </w:p>
    <w:p w14:paraId="3DA36961" w14:textId="36B39C18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Mensageria (RabbitMQ/SQS): filas para certificados, e-mails, webhooks — absorvem picos.</w:t>
      </w:r>
    </w:p>
    <w:p w14:paraId="1B5786F5" w14:textId="05E7BDC1" w:rsidR="009971B3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Infraestrutura: AWS (EC2, RDS/PostgreSQL, S3, CloudFront). Conteinerização com Docker e orquestração com Kubernetes (EKS), permitindo escalonamento horizontal por serviço.</w:t>
      </w:r>
    </w:p>
    <w:p w14:paraId="3EC0388F" w14:textId="6F468D5A" w:rsidR="001D2845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O modelo em camadas (aplicação → domínio → infraestrutura) separa responsabilidades e facilita testes/troca de adaptadores (FILHO, 2019; MARTIN, 2017).</w:t>
      </w:r>
    </w:p>
    <w:p w14:paraId="62EC76C4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Modularização por domínio:</w:t>
      </w:r>
    </w:p>
    <w:p w14:paraId="0A8FE568" w14:textId="3920B01A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Autenticação; Eventos; Pagamentos (PIX, cartão, boleto); Streaming; Certificação; Analytics.</w:t>
      </w:r>
    </w:p>
    <w:p w14:paraId="0B7DEDC9" w14:textId="3610A22C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Segurança:</w:t>
      </w:r>
      <w:r w:rsidRPr="00F601F8">
        <w:rPr>
          <w:rFonts w:ascii="Times New Roman" w:hAnsi="Times New Roman" w:cs="Times New Roman"/>
          <w:sz w:val="24"/>
          <w:szCs w:val="24"/>
        </w:rPr>
        <w:t xml:space="preserve"> minimização de dados, consentimento, DSR, criptografia em trânsito e repouso, validações de entrada e auditoria (OWASP, 2021).</w:t>
      </w:r>
    </w:p>
    <w:p w14:paraId="7917FED3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Qualidade/Entrega:</w:t>
      </w:r>
      <w:r w:rsidRPr="00F601F8">
        <w:rPr>
          <w:rFonts w:ascii="Times New Roman" w:hAnsi="Times New Roman" w:cs="Times New Roman"/>
          <w:sz w:val="24"/>
          <w:szCs w:val="24"/>
        </w:rPr>
        <w:t xml:space="preserve"> TDD (BECK, 2003) e CI/CD (HUMBLE; FARLEY, 2010): GitFlow; Jenkins ou GitHub Actions; testes a cada commit; análise estática (SonarQube); varredura de dependências; empacotamento Docker; implantação contínua em dev/homolog/produção.</w:t>
      </w:r>
    </w:p>
    <w:p w14:paraId="2897D772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5E165" w14:textId="0A4C6360" w:rsidR="00C51EDD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5. Plano de Testes</w:t>
      </w:r>
    </w:p>
    <w:p w14:paraId="2F8D18AB" w14:textId="77777777" w:rsidR="001D2845" w:rsidRPr="00F601F8" w:rsidRDefault="001D2845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D3AB71" w14:textId="786BDFE4" w:rsidR="00C51EDD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Buscamos verificação e validação contínuas: construir o produto corretamente (revisões, análise estática, testes unitários/integração) e construir a coisa certa (aceitação, usabilidade) (PRESSMAN; MAXIM, 2016).</w:t>
      </w:r>
    </w:p>
    <w:p w14:paraId="66DEF5FB" w14:textId="5D793512" w:rsidR="00C51EDD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A pirâmide de testes equilibra alcance, custo e velocidade (Pressman; Maxim, 2016; FILHO, 2019):</w:t>
      </w:r>
    </w:p>
    <w:p w14:paraId="2AD8CC58" w14:textId="015FBF1C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Base (Unitários): regras menores/modelos (TDD, execução em segundos).</w:t>
      </w:r>
    </w:p>
    <w:p w14:paraId="374CCD90" w14:textId="5AD7FCC8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Componentes/Serviços: poucos componentes com dependências simuladas (mocks/fakes).</w:t>
      </w:r>
    </w:p>
    <w:p w14:paraId="22EAE7B9" w14:textId="5AA7CC5E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Integração e Contratos: JPA/transações/filas reais; contratos dirigidos pelo consumidor (consumer-driven contracts).</w:t>
      </w:r>
    </w:p>
    <w:p w14:paraId="2CB579C2" w14:textId="41235117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E2E (poucos): apenas fluxos críticos ponta a ponta (p. ex., inscrever → pagar → assistir → certificado).</w:t>
      </w:r>
    </w:p>
    <w:p w14:paraId="490CE2AA" w14:textId="60E8A023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UAT: validação com usuários.</w:t>
      </w:r>
    </w:p>
    <w:p w14:paraId="0E606FC6" w14:textId="3267266C" w:rsidR="00C51EDD" w:rsidRPr="00F601F8" w:rsidRDefault="009971B3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9D49A" wp14:editId="652D1CD0">
            <wp:extent cx="2419350" cy="2419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521" cy="24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B481" w14:textId="77777777" w:rsidR="00C51EDD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Figura 04 – Pirâmide de testes.</w:t>
      </w:r>
    </w:p>
    <w:p w14:paraId="60CB5B46" w14:textId="71B04647" w:rsidR="00C51EDD" w:rsidRPr="00F601F8" w:rsidRDefault="00C51EDD" w:rsidP="00F6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13" w:history="1">
        <w:r w:rsidRPr="00F601F8">
          <w:rPr>
            <w:rStyle w:val="Hyperlink"/>
            <w:rFonts w:ascii="Times New Roman" w:hAnsi="Times New Roman" w:cs="Times New Roman"/>
            <w:sz w:val="24"/>
            <w:szCs w:val="24"/>
          </w:rPr>
          <w:t>https://www.dio.me</w:t>
        </w:r>
      </w:hyperlink>
    </w:p>
    <w:p w14:paraId="3724FDEA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Ferramentas e critérios:</w:t>
      </w:r>
    </w:p>
    <w:p w14:paraId="212DD1FA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3DBFFD" w14:textId="0EE76388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Unitários: JUnit 5, Mockito (backend) e Jest (frontend); cobertura mínima de 80% no domínio.</w:t>
      </w:r>
    </w:p>
    <w:p w14:paraId="40E589A2" w14:textId="4A77B4FA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Integração: TestContainers, WireMock; API: Postman/Newman.</w:t>
      </w:r>
    </w:p>
    <w:p w14:paraId="1C234494" w14:textId="6EBFB8BF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E2E/Sistema: Selenium WebDriver e Cypress/Playwright.</w:t>
      </w:r>
    </w:p>
    <w:p w14:paraId="02FAA6F5" w14:textId="5F59B728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Carga/Estresse: JMeter e k6 — 10.000 (carga), 50.000 (pico), 70.000 (estresse); medir p95 de latência, throughput, taxa de erro e uso de recursos.</w:t>
      </w:r>
    </w:p>
    <w:p w14:paraId="0C5A78B1" w14:textId="6277013E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lastRenderedPageBreak/>
        <w:t>Segurança: SonarQube (SAST), OWASP ZAP (DAST), secret scanning, threat modeling com ASVS e Top 10 (OWASP, 2021).</w:t>
      </w:r>
    </w:p>
    <w:p w14:paraId="05D4E2CA" w14:textId="253AAC09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Rastreabilidade: matriz bidirecional ligando requisito → caso de uso → cenários de teste → defeitos/correções; BDD/Gherkin integrados ao pipeline.</w:t>
      </w:r>
    </w:p>
    <w:p w14:paraId="530D139B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B6124D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Cronograma de testes</w:t>
      </w:r>
    </w:p>
    <w:p w14:paraId="5EE8EA83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5FA1FF" w14:textId="391E92D3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Sprints 1–2: preparação de ambiente e unitários.</w:t>
      </w:r>
    </w:p>
    <w:p w14:paraId="52882146" w14:textId="6D28BFBB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Sprints 3–4: integração e sistema/E2E.</w:t>
      </w:r>
    </w:p>
    <w:p w14:paraId="574A3AC3" w14:textId="6FF15FD1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Sprint 5: carga e performance.</w:t>
      </w:r>
    </w:p>
    <w:p w14:paraId="55BD26DA" w14:textId="500FF5CA" w:rsidR="00C51EDD" w:rsidRPr="00F601F8" w:rsidRDefault="00C51EDD" w:rsidP="00F601F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Sprint 6: aceitação (UAT) com stakeholders e validação final.</w:t>
      </w:r>
    </w:p>
    <w:p w14:paraId="54885522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36CE53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Critérios de performance:</w:t>
      </w:r>
    </w:p>
    <w:p w14:paraId="0A95F8E2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Suportar 50.000 usuários simultâneos com &lt; 3 s nas operações intensas; meta interna: p95 &lt; 200 ms nas APIs críticas, throughput &gt; 10.000 req/min, erro &lt; 0,1%.</w:t>
      </w:r>
    </w:p>
    <w:p w14:paraId="3679A874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404660" w14:textId="77777777" w:rsidR="00C51EDD" w:rsidRPr="00C61E3A" w:rsidRDefault="00C51EDD" w:rsidP="00F601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E3A">
        <w:rPr>
          <w:rFonts w:ascii="Times New Roman" w:hAnsi="Times New Roman" w:cs="Times New Roman"/>
          <w:b/>
          <w:bCs/>
          <w:sz w:val="24"/>
          <w:szCs w:val="24"/>
        </w:rPr>
        <w:t>6. Conclusão</w:t>
      </w:r>
    </w:p>
    <w:p w14:paraId="60D8C1B7" w14:textId="77777777" w:rsidR="00C51EDD" w:rsidRPr="00F601F8" w:rsidRDefault="00C51EDD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09E056" w14:textId="50664AAF" w:rsidR="00C51EDD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="00C51EDD" w:rsidRPr="00F601F8">
        <w:rPr>
          <w:rFonts w:ascii="Times New Roman" w:hAnsi="Times New Roman" w:cs="Times New Roman"/>
          <w:sz w:val="24"/>
          <w:szCs w:val="24"/>
        </w:rPr>
        <w:t>A adoção de Monólito Modular com DDD e arquitetura Hexagonal, sustentada por TDD e CI/CD, alinha teoria e prática, fornece clareza de domínio, testabilidade, evolução controlada e preparo para escala. Bounded Contexts, eventos de domínio, Sagas e Outbox reduzem acoplamento e protegem a integridade do negócio frente a integrações críticas. O plano de testes, equilibrando verificação, validação e requisitos não funcionais (desempenho e segurança), materializa o compromisso com qualidade e conformidade. A proposta começa simples para aprender com usuários reais e preserva caminhos de evolução quando a demanda exigir. É menos sobre nomes e mais sobre coerência entre intenção e execução (EVANS, 2004; MARTIN, 2017; PRESSMAN; MAXIM, 2016; FILHO, 2019).</w:t>
      </w:r>
    </w:p>
    <w:p w14:paraId="6764192A" w14:textId="77777777" w:rsidR="00D74EF1" w:rsidRDefault="00D74EF1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2DDD58" w14:textId="06265586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lastRenderedPageBreak/>
        <w:t>Referências</w:t>
      </w:r>
    </w:p>
    <w:p w14:paraId="18182673" w14:textId="79132B8E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BECK, K. Test-Driven Development: By Example. Boston: Addison-Wesley, 2003.</w:t>
      </w:r>
    </w:p>
    <w:p w14:paraId="03F2048F" w14:textId="6F7AD4F4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BROWN, S. Software Architecture for Developers. 2. ed. London: Leanpub, 2018.</w:t>
      </w:r>
    </w:p>
    <w:p w14:paraId="4984C6B8" w14:textId="564883E8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CORRÊA, D. A. Projeto, implementação e teste de software. Florianópolis: Arqué, 2025. Unidade 1, p. 8–26; Unidade 2, p. 28–43; Unidade 4, p. 118–137; Unidade 5, p. 164–183.</w:t>
      </w:r>
    </w:p>
    <w:p w14:paraId="7096D0E7" w14:textId="36F95172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EVANS, E. Domain-Driven Design: Tackling Complexity in the Heart of Software. Boston: Addison-Wesley, 2004.</w:t>
      </w:r>
    </w:p>
    <w:p w14:paraId="76DD1A45" w14:textId="15B6470D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FILHO, W. de P. P. Engenharia de Software – Produtos. 4. ed. Rio de Janeiro: LTC, 2019.</w:t>
      </w:r>
    </w:p>
    <w:p w14:paraId="5DF11D20" w14:textId="0CD07FE3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GAMMA, E. et al. Design Patterns: Elements of Reusable Object-Oriented Software. Boston: Addison-Wesley, 1994.</w:t>
      </w:r>
    </w:p>
    <w:p w14:paraId="7B2DC9D1" w14:textId="35C6E9DA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GONÇALVES, P. de F. et al. Testes de software e gerência de configuração. Porto Alegre: Grupo A, 2019.</w:t>
      </w:r>
    </w:p>
    <w:p w14:paraId="0722DC05" w14:textId="2B06277D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GUEDES, G. T. A. UML 2: uma abordagem prática. 2. ed. São Paulo: Novatec, 2011.</w:t>
      </w:r>
    </w:p>
    <w:p w14:paraId="6AFC9937" w14:textId="2625B157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HUMBLE, J.; FARLEY, D. Continuous Delivery. Boston: Addison-Wesley, 2010.</w:t>
      </w:r>
    </w:p>
    <w:p w14:paraId="3A3D86CB" w14:textId="0F1122A9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ISO/IEC. ISO/IEC 25010: Systems and Software Quality Requirements and Evaluation (SQuaRE). Geneva: ISO, 2011.</w:t>
      </w:r>
    </w:p>
    <w:p w14:paraId="06EB0C71" w14:textId="1F6B6EE2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KLEPPMANN, M. Designing Data-Intensive Applications. Sebastopol: O’Reilly, 2017.</w:t>
      </w:r>
    </w:p>
    <w:p w14:paraId="47A97813" w14:textId="7789A47F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MARTIN, R. C. Clean Architecture. Boston: Prentice Hall, 2017.</w:t>
      </w:r>
    </w:p>
    <w:p w14:paraId="2D214D03" w14:textId="76789884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NEWMAN, S. Building Microservices. 2. ed. Sebastopol: O’Reilly, 2021.</w:t>
      </w:r>
    </w:p>
    <w:p w14:paraId="5D578F25" w14:textId="0B7FEDE0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 xml:space="preserve">OWASP FOUNDATION. Application Security Verification Standard (ASVS) v4.0. 2021. Disponível em: </w:t>
      </w:r>
      <w:hyperlink r:id="rId14" w:history="1">
        <w:r w:rsidRPr="009971B3">
          <w:rPr>
            <w:rStyle w:val="Hyperlink"/>
            <w:rFonts w:ascii="Times New Roman" w:hAnsi="Times New Roman" w:cs="Times New Roman"/>
            <w:sz w:val="24"/>
            <w:szCs w:val="24"/>
          </w:rPr>
          <w:t>https://owasp.org/www-project-application-security-verification-standard/</w:t>
        </w:r>
      </w:hyperlink>
      <w:r w:rsidRPr="009971B3">
        <w:rPr>
          <w:rFonts w:ascii="Times New Roman" w:hAnsi="Times New Roman" w:cs="Times New Roman"/>
          <w:sz w:val="24"/>
          <w:szCs w:val="24"/>
        </w:rPr>
        <w:t xml:space="preserve"> Acesso em: 19 set. 2025.</w:t>
      </w:r>
    </w:p>
    <w:p w14:paraId="4C7B03CB" w14:textId="45D56FD5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 xml:space="preserve">OWASP FOUNDATION. OWASP Top 10 – 2021. 2021. Disponível em: </w:t>
      </w:r>
      <w:hyperlink r:id="rId15" w:history="1">
        <w:r w:rsidRPr="009971B3">
          <w:rPr>
            <w:rStyle w:val="Hyperlink"/>
            <w:rFonts w:ascii="Times New Roman" w:hAnsi="Times New Roman" w:cs="Times New Roman"/>
            <w:sz w:val="24"/>
            <w:szCs w:val="24"/>
          </w:rPr>
          <w:t>https://owasp.org/Top10/</w:t>
        </w:r>
      </w:hyperlink>
      <w:r w:rsidRPr="009971B3">
        <w:rPr>
          <w:rFonts w:ascii="Times New Roman" w:hAnsi="Times New Roman" w:cs="Times New Roman"/>
          <w:sz w:val="24"/>
          <w:szCs w:val="24"/>
        </w:rPr>
        <w:t xml:space="preserve"> Acesso em: 19 set. 2025.</w:t>
      </w:r>
    </w:p>
    <w:p w14:paraId="7EFD2526" w14:textId="283026D5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PRESSMAN, R. S.; MAXIM, B. R. Engenharia de software: uma abordagem profissional. 8. ed. Porto Alegre: AMGH, 2016.</w:t>
      </w:r>
    </w:p>
    <w:p w14:paraId="6B6AF4A4" w14:textId="0EE39186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lastRenderedPageBreak/>
        <w:t>RICHARDS, M.; FORD, N. Fundamentals of Software Architecture. Sebastopol: O’Reilly, 2020.</w:t>
      </w:r>
    </w:p>
    <w:p w14:paraId="62737FFD" w14:textId="4B528C3C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>Fontes de figuras (web)</w:t>
      </w:r>
    </w:p>
    <w:p w14:paraId="5A23382F" w14:textId="5A4E74CC" w:rsidR="009971B3" w:rsidRPr="009971B3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 xml:space="preserve">DIO. Testes unitários em Java com JUnit 5. Disponível em: </w:t>
      </w:r>
      <w:hyperlink r:id="rId16" w:history="1">
        <w:r w:rsidRPr="009971B3">
          <w:rPr>
            <w:rStyle w:val="Hyperlink"/>
            <w:rFonts w:ascii="Times New Roman" w:hAnsi="Times New Roman" w:cs="Times New Roman"/>
            <w:sz w:val="24"/>
            <w:szCs w:val="24"/>
          </w:rPr>
          <w:t>https://www.dio.me/articles/testes-unitarios-em-java-com-junit-5</w:t>
        </w:r>
      </w:hyperlink>
      <w:r w:rsidRPr="009971B3">
        <w:rPr>
          <w:rFonts w:ascii="Times New Roman" w:hAnsi="Times New Roman" w:cs="Times New Roman"/>
          <w:sz w:val="24"/>
          <w:szCs w:val="24"/>
        </w:rPr>
        <w:t xml:space="preserve"> Acesso em: 19 set. 2025.</w:t>
      </w:r>
    </w:p>
    <w:p w14:paraId="026D4174" w14:textId="38DAA95F" w:rsidR="009971B3" w:rsidRPr="00F601F8" w:rsidRDefault="009971B3" w:rsidP="00F60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</w:rPr>
        <w:t xml:space="preserve">FLASHBLACK. Developing Modular Monolith vs Traditional Monolith in Software Engineering – Pros and Cons. DEV Community. Disponível em: </w:t>
      </w:r>
      <w:hyperlink r:id="rId17" w:history="1">
        <w:r w:rsidRPr="009971B3">
          <w:rPr>
            <w:rStyle w:val="Hyperlink"/>
            <w:rFonts w:ascii="Times New Roman" w:hAnsi="Times New Roman" w:cs="Times New Roman"/>
            <w:sz w:val="24"/>
            <w:szCs w:val="24"/>
          </w:rPr>
          <w:t>https://dev.to/flashblack/developing-modular-monolith-vs-traditional-monolith-in-software-engineering-pros-and-cons-p61</w:t>
        </w:r>
      </w:hyperlink>
      <w:r w:rsidRPr="009971B3">
        <w:rPr>
          <w:rFonts w:ascii="Times New Roman" w:hAnsi="Times New Roman" w:cs="Times New Roman"/>
          <w:sz w:val="24"/>
          <w:szCs w:val="24"/>
        </w:rPr>
        <w:t xml:space="preserve"> Acesso em: 19 set. 2025.</w:t>
      </w:r>
    </w:p>
    <w:sectPr w:rsidR="009971B3" w:rsidRPr="00F601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D94226"/>
    <w:multiLevelType w:val="hybridMultilevel"/>
    <w:tmpl w:val="3C6A21FE"/>
    <w:lvl w:ilvl="0" w:tplc="246CCC1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DD"/>
    <w:rsid w:val="0005287D"/>
    <w:rsid w:val="000A46A6"/>
    <w:rsid w:val="001D2845"/>
    <w:rsid w:val="004F610E"/>
    <w:rsid w:val="00620894"/>
    <w:rsid w:val="007F5FCB"/>
    <w:rsid w:val="008902C3"/>
    <w:rsid w:val="009971B3"/>
    <w:rsid w:val="00C51EDD"/>
    <w:rsid w:val="00C61E3A"/>
    <w:rsid w:val="00D74EF1"/>
    <w:rsid w:val="00E82DC2"/>
    <w:rsid w:val="00F6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41DF4"/>
  <w15:chartTrackingRefBased/>
  <w15:docId w15:val="{EDD15EBD-340E-4F58-8EB6-19F205A7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51ED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1ED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51EDD"/>
    <w:pPr>
      <w:ind w:left="720"/>
      <w:contextualSpacing/>
    </w:pPr>
  </w:style>
  <w:style w:type="table" w:styleId="Tabelacomgrade">
    <w:name w:val="Table Grid"/>
    <w:basedOn w:val="Tabelanormal"/>
    <w:uiPriority w:val="39"/>
    <w:rsid w:val="00D74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D74E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7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5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2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2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5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6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dio.m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to" TargetMode="External"/><Relationship Id="rId12" Type="http://schemas.openxmlformats.org/officeDocument/2006/relationships/image" Target="media/image5.jpeg"/><Relationship Id="rId17" Type="http://schemas.openxmlformats.org/officeDocument/2006/relationships/hyperlink" Target="https://dev.to/flashblack/developing-modular-monolith-vs-traditional-monolith-in-software-engineering-pros-and-cons-p6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o.me/articles/testes-unitarios-em-java-com-junit-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marcdias.com.br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owasp.org/Top10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digosimples.net/" TargetMode="External"/><Relationship Id="rId14" Type="http://schemas.openxmlformats.org/officeDocument/2006/relationships/hyperlink" Target="https://owasp.org/www-project-application-security-verification-standard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2566</Words>
  <Characters>13857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9</cp:revision>
  <dcterms:created xsi:type="dcterms:W3CDTF">2025-09-19T22:56:00Z</dcterms:created>
  <dcterms:modified xsi:type="dcterms:W3CDTF">2025-09-19T23:41:00Z</dcterms:modified>
</cp:coreProperties>
</file>