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3627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3. Arquitetura e fundamentação</w:t>
      </w:r>
    </w:p>
    <w:p w14:paraId="1084C97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3.1. Por que esta arquitetura (antes dos nomes)</w:t>
      </w:r>
    </w:p>
    <w:p w14:paraId="5131C57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70CA3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Arquitetura é, sobretudo, gestão de risco: com equipe pequena e prazo curto, precisamos de algo que ande rápido hoje e permaneça evolutivo amanhã. Por isso, partimos de uma estrutura simples de operar e disciplinada por dentro. Em vez de começar distribuindo o sistema em muitos serviços e camadas operacionais (o que aumenta o custo de coordenação e de observabilidade), adotamos uma forma que privilegia clareza de responsabilidades, testes fáceis e porta aberta para crescer (PRESSMAN; MAXIM, 2016; FILHO, 2019).</w:t>
      </w:r>
    </w:p>
    <w:p w14:paraId="6B0A2FA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D27F1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3.2. Decisão arquitetural central (com os nomes, agora)</w:t>
      </w:r>
    </w:p>
    <w:p w14:paraId="26619CF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CECDB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Adota-se Monólito Modular com arquitetura em camadas no nível físico (apresentação/aplicação, domínio, infraestrutura) e estilo Hexagonal (</w:t>
      </w:r>
      <w:proofErr w:type="spellStart"/>
      <w:r w:rsidRPr="00BF1B43">
        <w:rPr>
          <w:rFonts w:ascii="Arial" w:hAnsi="Arial" w:cs="Arial"/>
          <w:sz w:val="24"/>
          <w:szCs w:val="24"/>
        </w:rPr>
        <w:t>Ports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BF1B43">
        <w:rPr>
          <w:rFonts w:ascii="Arial" w:hAnsi="Arial" w:cs="Arial"/>
          <w:sz w:val="24"/>
          <w:szCs w:val="24"/>
        </w:rPr>
        <w:t>Adapters</w:t>
      </w:r>
      <w:proofErr w:type="spellEnd"/>
      <w:r w:rsidRPr="00BF1B43">
        <w:rPr>
          <w:rFonts w:ascii="Arial" w:hAnsi="Arial" w:cs="Arial"/>
          <w:sz w:val="24"/>
          <w:szCs w:val="24"/>
        </w:rPr>
        <w:t>) no nível lógico, mantendo o Domínio protegido de detalhes de tecnologia (MARTIN, 2017; EVANS, 2004). Em termos práticos, isso significa: um único executável para simplificar operação, módulos bem separados para evitar acoplamento acidental e portas/adaptadores para trocar banco, mensageria ou provedores externos sem reescrever regras de negócio. Essa combinação fornece fronteiras nítidas, reduz acoplamento e dá flexibilidade para testar e evoluir, inclusive extraindo apenas os módulos que se tornarem gargalo — quando as métricas justificarem (FOWLER, 2015; BROWN, 2018; NEWMAN, 2021).</w:t>
      </w:r>
    </w:p>
    <w:p w14:paraId="5DB7276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709AC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Figura 01 — Exemplos de Arquitetura</w:t>
      </w:r>
    </w:p>
    <w:p w14:paraId="38EE0D4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Fonte: </w:t>
      </w:r>
      <w:proofErr w:type="spellStart"/>
      <w:r w:rsidRPr="00BF1B43">
        <w:rPr>
          <w:rFonts w:ascii="Arial" w:hAnsi="Arial" w:cs="Arial"/>
          <w:sz w:val="24"/>
          <w:szCs w:val="24"/>
        </w:rPr>
        <w:t>Developing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Modular </w:t>
      </w:r>
      <w:proofErr w:type="spellStart"/>
      <w:r w:rsidRPr="00BF1B43">
        <w:rPr>
          <w:rFonts w:ascii="Arial" w:hAnsi="Arial" w:cs="Arial"/>
          <w:sz w:val="24"/>
          <w:szCs w:val="24"/>
        </w:rPr>
        <w:t>Monolith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vs. </w:t>
      </w:r>
      <w:proofErr w:type="spellStart"/>
      <w:r w:rsidRPr="00BF1B43">
        <w:rPr>
          <w:rFonts w:ascii="Arial" w:hAnsi="Arial" w:cs="Arial"/>
          <w:sz w:val="24"/>
          <w:szCs w:val="24"/>
        </w:rPr>
        <w:t>Traditional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Monolith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in Software Engineering (link já no seu documento).</w:t>
      </w:r>
    </w:p>
    <w:p w14:paraId="1F80EA0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9E40E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lastRenderedPageBreak/>
        <w:t xml:space="preserve">3.3. Por que não começar com </w:t>
      </w:r>
      <w:proofErr w:type="spellStart"/>
      <w:r w:rsidRPr="00BF1B43">
        <w:rPr>
          <w:rFonts w:ascii="Arial" w:hAnsi="Arial" w:cs="Arial"/>
          <w:sz w:val="24"/>
          <w:szCs w:val="24"/>
        </w:rPr>
        <w:t>microsserviços</w:t>
      </w:r>
      <w:proofErr w:type="spellEnd"/>
    </w:p>
    <w:p w14:paraId="652D4A5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88E23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Microsserviços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são poderosos, mas não gratuitos: trazem contratos distribuídos, versionamento de APIs, observabilidade e múltiplos pipelines de </w:t>
      </w:r>
      <w:proofErr w:type="spellStart"/>
      <w:r w:rsidRPr="00BF1B43">
        <w:rPr>
          <w:rFonts w:ascii="Arial" w:hAnsi="Arial" w:cs="Arial"/>
          <w:sz w:val="24"/>
          <w:szCs w:val="24"/>
        </w:rPr>
        <w:t>deploy</w:t>
      </w:r>
      <w:proofErr w:type="spellEnd"/>
      <w:r w:rsidRPr="00BF1B43">
        <w:rPr>
          <w:rFonts w:ascii="Arial" w:hAnsi="Arial" w:cs="Arial"/>
          <w:sz w:val="24"/>
          <w:szCs w:val="24"/>
        </w:rPr>
        <w:t>. Para 5 desenvolvedores em 6 meses, esse overhead tende a consumir tempo que deveria ir para as funcionalidades centrais (NEWMAN, 2021; RICHARDS; FORD, 2020). O Monólito Modular — quando modularizado de verdade, com fronteiras explícitas — não é um “bolo de lama”; ele é um degrau arquitetural: entrega rápido agora e preserva a opção de migração futura (BROWN, 2018).</w:t>
      </w:r>
    </w:p>
    <w:p w14:paraId="3F5A2055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972EF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3.4. DDD como linguagem do negócio</w:t>
      </w:r>
    </w:p>
    <w:p w14:paraId="65F2EFD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E7C0A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Para manter o foco no que importa, partimos de Domain-</w:t>
      </w:r>
      <w:proofErr w:type="spellStart"/>
      <w:r w:rsidRPr="00BF1B43">
        <w:rPr>
          <w:rFonts w:ascii="Arial" w:hAnsi="Arial" w:cs="Arial"/>
          <w:sz w:val="24"/>
          <w:szCs w:val="24"/>
        </w:rPr>
        <w:t>Driven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Design (DDD): dividir o sistema em </w:t>
      </w:r>
      <w:proofErr w:type="spellStart"/>
      <w:r w:rsidRPr="00BF1B43">
        <w:rPr>
          <w:rFonts w:ascii="Arial" w:hAnsi="Arial" w:cs="Arial"/>
          <w:sz w:val="24"/>
          <w:szCs w:val="24"/>
        </w:rPr>
        <w:t>Bounded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Contexts</w:t>
      </w:r>
      <w:proofErr w:type="spellEnd"/>
      <w:r w:rsidRPr="00BF1B43">
        <w:rPr>
          <w:rFonts w:ascii="Arial" w:hAnsi="Arial" w:cs="Arial"/>
          <w:sz w:val="24"/>
          <w:szCs w:val="24"/>
        </w:rPr>
        <w:t>, cada qual com linguagem ubíqua própria (EVANS, 2004). Isso reduz mal-entendidos e localiza mudanças.</w:t>
      </w:r>
    </w:p>
    <w:p w14:paraId="5CD7A82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5BC5C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Identidade &amp; Acesso (autenticação/autorização, RBAC/ABAC);</w:t>
      </w:r>
    </w:p>
    <w:p w14:paraId="53C02230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EC67A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Eventos (agenda, sessões, palestrantes, locais, fuso/idioma);</w:t>
      </w:r>
    </w:p>
    <w:p w14:paraId="6452225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FBB91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Inscrições &amp; Pagamentos (ordens, faturas, </w:t>
      </w:r>
      <w:proofErr w:type="spellStart"/>
      <w:r w:rsidRPr="00BF1B43">
        <w:rPr>
          <w:rFonts w:ascii="Arial" w:hAnsi="Arial" w:cs="Arial"/>
          <w:sz w:val="24"/>
          <w:szCs w:val="24"/>
        </w:rPr>
        <w:t>webhooks</w:t>
      </w:r>
      <w:proofErr w:type="spellEnd"/>
      <w:r w:rsidRPr="00BF1B43">
        <w:rPr>
          <w:rFonts w:ascii="Arial" w:hAnsi="Arial" w:cs="Arial"/>
          <w:sz w:val="24"/>
          <w:szCs w:val="24"/>
        </w:rPr>
        <w:t>, conciliação);</w:t>
      </w:r>
    </w:p>
    <w:p w14:paraId="7CF9B47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8D7A7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Transmissão/Engajamento (provedor de vídeo, chat/Q&amp;A);</w:t>
      </w:r>
    </w:p>
    <w:p w14:paraId="58A038D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B080F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Certificação (regras de presença, emissão, verificação por QR);</w:t>
      </w:r>
    </w:p>
    <w:p w14:paraId="2F516CA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C267C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Analytics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(eventos de produto, KPIs);</w:t>
      </w:r>
    </w:p>
    <w:p w14:paraId="7A1556E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B49D10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Networking (perfis, interesses, </w:t>
      </w:r>
      <w:proofErr w:type="spellStart"/>
      <w:r w:rsidRPr="00BF1B43">
        <w:rPr>
          <w:rFonts w:ascii="Arial" w:hAnsi="Arial" w:cs="Arial"/>
          <w:sz w:val="24"/>
          <w:szCs w:val="24"/>
        </w:rPr>
        <w:t>matching</w:t>
      </w:r>
      <w:proofErr w:type="spellEnd"/>
      <w:r w:rsidRPr="00BF1B43">
        <w:rPr>
          <w:rFonts w:ascii="Arial" w:hAnsi="Arial" w:cs="Arial"/>
          <w:sz w:val="24"/>
          <w:szCs w:val="24"/>
        </w:rPr>
        <w:t>, mensagens).</w:t>
      </w:r>
    </w:p>
    <w:p w14:paraId="6EFA361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F9206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Em cada contexto, modelam-se Entidades, Objetos de Valor, Agregados (com invariantes), Repositórios e Serviços de Domínio/Aplicação (EVANS, 2004; MARTIN, 2017). Nas integrações com terceiros, uma </w:t>
      </w:r>
      <w:proofErr w:type="spellStart"/>
      <w:r w:rsidRPr="00BF1B43">
        <w:rPr>
          <w:rFonts w:ascii="Arial" w:hAnsi="Arial" w:cs="Arial"/>
          <w:sz w:val="24"/>
          <w:szCs w:val="24"/>
        </w:rPr>
        <w:t>Anti-Corruption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Layer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impede que modelos externos “contaminem” o coração do domínio (EVANS, 2004).</w:t>
      </w:r>
    </w:p>
    <w:p w14:paraId="635D4E4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902C5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3.5. SOLID: a ponte entre arquitetura e código</w:t>
      </w:r>
    </w:p>
    <w:p w14:paraId="6F01004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75AB3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Para que essa arquitetura permaneça saudável no tempo, aplicamos SOLID dentro de cada módulo (MARTIN, 2017). Em linguagem simples:</w:t>
      </w:r>
    </w:p>
    <w:p w14:paraId="013658F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00ACF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SRP — um motivo por classe: torna o código legível e testável.</w:t>
      </w:r>
    </w:p>
    <w:p w14:paraId="3DF93FE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1545A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OCP — evoluir por extensão: permite crescer sem reescrever o que já está certo (ex.: novo meio de pagamento como </w:t>
      </w:r>
      <w:proofErr w:type="spellStart"/>
      <w:r w:rsidRPr="00BF1B43">
        <w:rPr>
          <w:rFonts w:ascii="Arial" w:hAnsi="Arial" w:cs="Arial"/>
          <w:sz w:val="24"/>
          <w:szCs w:val="24"/>
        </w:rPr>
        <w:t>Strategy</w:t>
      </w:r>
      <w:proofErr w:type="spellEnd"/>
      <w:r w:rsidRPr="00BF1B43">
        <w:rPr>
          <w:rFonts w:ascii="Arial" w:hAnsi="Arial" w:cs="Arial"/>
          <w:sz w:val="24"/>
          <w:szCs w:val="24"/>
        </w:rPr>
        <w:t>).</w:t>
      </w:r>
    </w:p>
    <w:p w14:paraId="311E6A8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9290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LSP — substituir sem surpresas: trocar </w:t>
      </w:r>
      <w:proofErr w:type="spellStart"/>
      <w:r w:rsidRPr="00BF1B43">
        <w:rPr>
          <w:rFonts w:ascii="Arial" w:hAnsi="Arial" w:cs="Arial"/>
          <w:sz w:val="24"/>
          <w:szCs w:val="24"/>
        </w:rPr>
        <w:t>Stripe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por Pagar.me respeitando o mesmo contrato.</w:t>
      </w:r>
    </w:p>
    <w:p w14:paraId="69D82B5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047A9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ISP — interfaces pequenas: cada consumidor depende só do que usa, reduzindo acoplamento.</w:t>
      </w:r>
    </w:p>
    <w:p w14:paraId="37E074C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EC184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DIP — domínio depende de abstrações: casos de uso ligam-se a </w:t>
      </w:r>
      <w:proofErr w:type="spellStart"/>
      <w:r w:rsidRPr="00BF1B43">
        <w:rPr>
          <w:rFonts w:ascii="Arial" w:hAnsi="Arial" w:cs="Arial"/>
          <w:sz w:val="24"/>
          <w:szCs w:val="24"/>
        </w:rPr>
        <w:t>ports</w:t>
      </w:r>
      <w:proofErr w:type="spellEnd"/>
      <w:r w:rsidRPr="00BF1B43">
        <w:rPr>
          <w:rFonts w:ascii="Arial" w:hAnsi="Arial" w:cs="Arial"/>
          <w:sz w:val="24"/>
          <w:szCs w:val="24"/>
        </w:rPr>
        <w:t>, e detalhes (</w:t>
      </w:r>
      <w:proofErr w:type="spellStart"/>
      <w:r w:rsidRPr="00BF1B43">
        <w:rPr>
          <w:rFonts w:ascii="Arial" w:hAnsi="Arial" w:cs="Arial"/>
          <w:sz w:val="24"/>
          <w:szCs w:val="24"/>
        </w:rPr>
        <w:t>SDKs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, DB) ficam em </w:t>
      </w:r>
      <w:proofErr w:type="spellStart"/>
      <w:r w:rsidRPr="00BF1B43">
        <w:rPr>
          <w:rFonts w:ascii="Arial" w:hAnsi="Arial" w:cs="Arial"/>
          <w:sz w:val="24"/>
          <w:szCs w:val="24"/>
        </w:rPr>
        <w:t>adapters</w:t>
      </w:r>
      <w:proofErr w:type="spellEnd"/>
      <w:r w:rsidRPr="00BF1B43">
        <w:rPr>
          <w:rFonts w:ascii="Arial" w:hAnsi="Arial" w:cs="Arial"/>
          <w:sz w:val="24"/>
          <w:szCs w:val="24"/>
        </w:rPr>
        <w:t>.</w:t>
      </w:r>
    </w:p>
    <w:p w14:paraId="546B776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D001E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Em termos humanos: arquitetura decide “onde cada coisa mora”; SOLID decide “como é construída”, para que continue compreensível e segura de evoluir.</w:t>
      </w:r>
    </w:p>
    <w:p w14:paraId="7BE50AA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D764F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3.6. Padrões de arquitetura e integração (onde agregam valor)</w:t>
      </w:r>
    </w:p>
    <w:p w14:paraId="0E48402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D1E06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Hexagonal/Clean: regras no centro; tecnologia na borda — facilita testes e trocas (MARTIN, 2017).</w:t>
      </w:r>
    </w:p>
    <w:p w14:paraId="029A86C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31D62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Eventos de Domínio: reações internas desacopladas (ex.: </w:t>
      </w:r>
      <w:proofErr w:type="spellStart"/>
      <w:r w:rsidRPr="00BF1B43">
        <w:rPr>
          <w:rFonts w:ascii="Arial" w:hAnsi="Arial" w:cs="Arial"/>
          <w:sz w:val="24"/>
          <w:szCs w:val="24"/>
        </w:rPr>
        <w:t>PagamentoAprovado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→ emitir ingresso/certificado) (RICHARDS; FORD, 2020).</w:t>
      </w:r>
    </w:p>
    <w:p w14:paraId="7BF0E5F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B4139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Sagas + </w:t>
      </w:r>
      <w:proofErr w:type="spellStart"/>
      <w:r w:rsidRPr="00BF1B43">
        <w:rPr>
          <w:rFonts w:ascii="Arial" w:hAnsi="Arial" w:cs="Arial"/>
          <w:sz w:val="24"/>
          <w:szCs w:val="24"/>
        </w:rPr>
        <w:t>Outbox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: orquestram inscrição/pagamento e garantem </w:t>
      </w:r>
      <w:proofErr w:type="spellStart"/>
      <w:r w:rsidRPr="00BF1B43">
        <w:rPr>
          <w:rFonts w:ascii="Arial" w:hAnsi="Arial" w:cs="Arial"/>
          <w:sz w:val="24"/>
          <w:szCs w:val="24"/>
        </w:rPr>
        <w:t>idempotência</w:t>
      </w:r>
      <w:proofErr w:type="spellEnd"/>
      <w:r w:rsidRPr="00BF1B43">
        <w:rPr>
          <w:rFonts w:ascii="Arial" w:hAnsi="Arial" w:cs="Arial"/>
          <w:sz w:val="24"/>
          <w:szCs w:val="24"/>
        </w:rPr>
        <w:t>/consistência com serviços externos (KLEPPMANN, 2017; NEWMAN, 2021).</w:t>
      </w:r>
    </w:p>
    <w:p w14:paraId="0E61863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66C27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API Gateway: autenticação, rate </w:t>
      </w:r>
      <w:proofErr w:type="spellStart"/>
      <w:r w:rsidRPr="00BF1B43">
        <w:rPr>
          <w:rFonts w:ascii="Arial" w:hAnsi="Arial" w:cs="Arial"/>
          <w:sz w:val="24"/>
          <w:szCs w:val="24"/>
        </w:rPr>
        <w:t>limit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e roteamento consistentes — um único ponto para políticas de entrada (RICHARDS; FORD, 2020).</w:t>
      </w:r>
    </w:p>
    <w:p w14:paraId="573E80C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DF4BA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3.7. Padrões de projeto (</w:t>
      </w:r>
      <w:proofErr w:type="spellStart"/>
      <w:r w:rsidRPr="00BF1B43">
        <w:rPr>
          <w:rFonts w:ascii="Arial" w:hAnsi="Arial" w:cs="Arial"/>
          <w:sz w:val="24"/>
          <w:szCs w:val="24"/>
        </w:rPr>
        <w:t>GoF</w:t>
      </w:r>
      <w:proofErr w:type="spellEnd"/>
      <w:r w:rsidRPr="00BF1B43">
        <w:rPr>
          <w:rFonts w:ascii="Arial" w:hAnsi="Arial" w:cs="Arial"/>
          <w:sz w:val="24"/>
          <w:szCs w:val="24"/>
        </w:rPr>
        <w:t>) — exemplos objetivos</w:t>
      </w:r>
    </w:p>
    <w:p w14:paraId="78670F9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CD718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Strategy</w:t>
      </w:r>
      <w:proofErr w:type="spellEnd"/>
      <w:r w:rsidRPr="00BF1B43">
        <w:rPr>
          <w:rFonts w:ascii="Arial" w:hAnsi="Arial" w:cs="Arial"/>
          <w:sz w:val="24"/>
          <w:szCs w:val="24"/>
        </w:rPr>
        <w:t>: políticas de presença/precificação.</w:t>
      </w:r>
    </w:p>
    <w:p w14:paraId="78898DC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10F28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Factory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/Abstract </w:t>
      </w:r>
      <w:proofErr w:type="spellStart"/>
      <w:r w:rsidRPr="00BF1B43">
        <w:rPr>
          <w:rFonts w:ascii="Arial" w:hAnsi="Arial" w:cs="Arial"/>
          <w:sz w:val="24"/>
          <w:szCs w:val="24"/>
        </w:rPr>
        <w:t>Factory</w:t>
      </w:r>
      <w:proofErr w:type="spellEnd"/>
      <w:r w:rsidRPr="00BF1B43">
        <w:rPr>
          <w:rFonts w:ascii="Arial" w:hAnsi="Arial" w:cs="Arial"/>
          <w:sz w:val="24"/>
          <w:szCs w:val="24"/>
        </w:rPr>
        <w:t>: criação de clientes para pagamento/streaming.</w:t>
      </w:r>
    </w:p>
    <w:p w14:paraId="3535A40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E258B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Adapter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: padronizar </w:t>
      </w:r>
      <w:proofErr w:type="spellStart"/>
      <w:r w:rsidRPr="00BF1B43">
        <w:rPr>
          <w:rFonts w:ascii="Arial" w:hAnsi="Arial" w:cs="Arial"/>
          <w:sz w:val="24"/>
          <w:szCs w:val="24"/>
        </w:rPr>
        <w:t>SDKs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heterogêneos.</w:t>
      </w:r>
    </w:p>
    <w:p w14:paraId="37732D5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9F44E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Facade</w:t>
      </w:r>
      <w:proofErr w:type="spellEnd"/>
      <w:r w:rsidRPr="00BF1B43">
        <w:rPr>
          <w:rFonts w:ascii="Arial" w:hAnsi="Arial" w:cs="Arial"/>
          <w:sz w:val="24"/>
          <w:szCs w:val="24"/>
        </w:rPr>
        <w:t>: dar uma face simples a orquestrações complexas.</w:t>
      </w:r>
    </w:p>
    <w:p w14:paraId="7123847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9DEA0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Observer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(via eventos): propagar mudanças sem acoplar módulos (GAMMA et al., 1994).</w:t>
      </w:r>
    </w:p>
    <w:p w14:paraId="1727E0E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B564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Síntese do porquê. Monólito Modular + Hexagonal + DDD + SOLID dá clareza de domínio, </w:t>
      </w:r>
      <w:proofErr w:type="spellStart"/>
      <w:r w:rsidRPr="00BF1B43">
        <w:rPr>
          <w:rFonts w:ascii="Arial" w:hAnsi="Arial" w:cs="Arial"/>
          <w:sz w:val="24"/>
          <w:szCs w:val="24"/>
        </w:rPr>
        <w:t>testabilidade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e evolução controlada, mantendo custos operacionais sob controle — essencial para equipes enxutas (FILHO, 2019; FOWLER, 2015; EVANS, 2004; MARTIN, 2017).</w:t>
      </w:r>
    </w:p>
    <w:p w14:paraId="3259DEA0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BE6B4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4. Estratégia de Implementação</w:t>
      </w:r>
    </w:p>
    <w:p w14:paraId="702663B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4.1. Stack e camadas (o que cada uma resolve)</w:t>
      </w:r>
    </w:p>
    <w:p w14:paraId="0BCD983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562DC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Back-</w:t>
      </w:r>
      <w:proofErr w:type="spellStart"/>
      <w:r w:rsidRPr="00BF1B43">
        <w:rPr>
          <w:rFonts w:ascii="Arial" w:hAnsi="Arial" w:cs="Arial"/>
          <w:sz w:val="24"/>
          <w:szCs w:val="24"/>
        </w:rPr>
        <w:t>end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(Java 21 + Spring Boot): produtividade, segurança e ecossistema; casos de uso expostos via </w:t>
      </w:r>
      <w:proofErr w:type="spellStart"/>
      <w:r w:rsidRPr="00BF1B43">
        <w:rPr>
          <w:rFonts w:ascii="Arial" w:hAnsi="Arial" w:cs="Arial"/>
          <w:sz w:val="24"/>
          <w:szCs w:val="24"/>
        </w:rPr>
        <w:t>ports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e implementados com </w:t>
      </w:r>
      <w:proofErr w:type="spellStart"/>
      <w:r w:rsidRPr="00BF1B43">
        <w:rPr>
          <w:rFonts w:ascii="Arial" w:hAnsi="Arial" w:cs="Arial"/>
          <w:sz w:val="24"/>
          <w:szCs w:val="24"/>
        </w:rPr>
        <w:t>adapters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REST/DB/filas (MARTIN, 2017).</w:t>
      </w:r>
    </w:p>
    <w:p w14:paraId="2A263DE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2172E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Front-end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1B43">
        <w:rPr>
          <w:rFonts w:ascii="Arial" w:hAnsi="Arial" w:cs="Arial"/>
          <w:sz w:val="24"/>
          <w:szCs w:val="24"/>
        </w:rPr>
        <w:t>React</w:t>
      </w:r>
      <w:proofErr w:type="spellEnd"/>
      <w:r w:rsidRPr="00BF1B43">
        <w:rPr>
          <w:rFonts w:ascii="Arial" w:hAnsi="Arial" w:cs="Arial"/>
          <w:sz w:val="24"/>
          <w:szCs w:val="24"/>
        </w:rPr>
        <w:t>/Next.js): experiência fluida, i18n e acessibilidade.</w:t>
      </w:r>
    </w:p>
    <w:p w14:paraId="5641D34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53DA1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Dados: PostgreSQL para transações; Redis para cache/sessões; armazenamento de objetos para certificados.</w:t>
      </w:r>
    </w:p>
    <w:p w14:paraId="49E3334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33BD4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Mensageria (</w:t>
      </w:r>
      <w:proofErr w:type="spellStart"/>
      <w:r w:rsidRPr="00BF1B43">
        <w:rPr>
          <w:rFonts w:ascii="Arial" w:hAnsi="Arial" w:cs="Arial"/>
          <w:sz w:val="24"/>
          <w:szCs w:val="24"/>
        </w:rPr>
        <w:t>RabbitMQ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/SQS): filas para certificados, e-mails, </w:t>
      </w:r>
      <w:proofErr w:type="spellStart"/>
      <w:r w:rsidRPr="00BF1B43">
        <w:rPr>
          <w:rFonts w:ascii="Arial" w:hAnsi="Arial" w:cs="Arial"/>
          <w:sz w:val="24"/>
          <w:szCs w:val="24"/>
        </w:rPr>
        <w:t>webhooks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— absorvem picos.</w:t>
      </w:r>
    </w:p>
    <w:p w14:paraId="57F04DD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E7FCA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lastRenderedPageBreak/>
        <w:t xml:space="preserve">Infra (serviços gerenciados): containers </w:t>
      </w:r>
      <w:proofErr w:type="spellStart"/>
      <w:r w:rsidRPr="00BF1B43">
        <w:rPr>
          <w:rFonts w:ascii="Arial" w:hAnsi="Arial" w:cs="Arial"/>
          <w:sz w:val="24"/>
          <w:szCs w:val="24"/>
        </w:rPr>
        <w:t>serverless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para simplificar operação e escalar sob demanda.</w:t>
      </w:r>
    </w:p>
    <w:p w14:paraId="36D4D66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31322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O modelo em camadas (aplicação → domínio → infraestrutura) separa responsabilidades e facilita testes e a troca de adaptadores (FILHO, 2019; MARTIN, 2017).</w:t>
      </w:r>
    </w:p>
    <w:p w14:paraId="605E307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7598A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4.2. DDD na prática (módulos e contratos)</w:t>
      </w:r>
    </w:p>
    <w:p w14:paraId="726DEF3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7F2C2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Cada </w:t>
      </w:r>
      <w:proofErr w:type="spellStart"/>
      <w:r w:rsidRPr="00BF1B43">
        <w:rPr>
          <w:rFonts w:ascii="Arial" w:hAnsi="Arial" w:cs="Arial"/>
          <w:sz w:val="24"/>
          <w:szCs w:val="24"/>
        </w:rPr>
        <w:t>Bounded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Context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vira um módulo com API clara. O Domínio não depende de frameworks; a Aplicação orquestra casos de uso; a Infraestrutura cuida de persistência, HTTP e filas. Contratos externos seguem REST/</w:t>
      </w:r>
      <w:proofErr w:type="spellStart"/>
      <w:r w:rsidRPr="00BF1B43">
        <w:rPr>
          <w:rFonts w:ascii="Arial" w:hAnsi="Arial" w:cs="Arial"/>
          <w:sz w:val="24"/>
          <w:szCs w:val="24"/>
        </w:rPr>
        <w:t>gRPC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com versionamento, </w:t>
      </w:r>
      <w:proofErr w:type="spellStart"/>
      <w:r w:rsidRPr="00BF1B43">
        <w:rPr>
          <w:rFonts w:ascii="Arial" w:hAnsi="Arial" w:cs="Arial"/>
          <w:sz w:val="24"/>
          <w:szCs w:val="24"/>
        </w:rPr>
        <w:t>idempotência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e validação. A ACL evita “vazamento” de modelos de terceiros (EVANS, 2004).</w:t>
      </w:r>
    </w:p>
    <w:p w14:paraId="6FCDDB4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61865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4.3. TDD, CI/CD e disciplina de código (por que ajudam de verdade)</w:t>
      </w:r>
    </w:p>
    <w:p w14:paraId="036C5C5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1FB5D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TDD (</w:t>
      </w:r>
      <w:proofErr w:type="spellStart"/>
      <w:r w:rsidRPr="00BF1B43">
        <w:rPr>
          <w:rFonts w:ascii="Arial" w:hAnsi="Arial" w:cs="Arial"/>
          <w:sz w:val="24"/>
          <w:szCs w:val="24"/>
        </w:rPr>
        <w:t>Red</w:t>
      </w:r>
      <w:proofErr w:type="spellEnd"/>
      <w:r w:rsidRPr="00BF1B43">
        <w:rPr>
          <w:rFonts w:ascii="Arial" w:hAnsi="Arial" w:cs="Arial"/>
          <w:sz w:val="24"/>
          <w:szCs w:val="24"/>
        </w:rPr>
        <w:t>–Green–</w:t>
      </w:r>
      <w:proofErr w:type="spellStart"/>
      <w:r w:rsidRPr="00BF1B43">
        <w:rPr>
          <w:rFonts w:ascii="Arial" w:hAnsi="Arial" w:cs="Arial"/>
          <w:sz w:val="24"/>
          <w:szCs w:val="24"/>
        </w:rPr>
        <w:t>Refactor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): força a escrever código com propósito, facilita </w:t>
      </w:r>
      <w:proofErr w:type="spellStart"/>
      <w:r w:rsidRPr="00BF1B43">
        <w:rPr>
          <w:rFonts w:ascii="Arial" w:hAnsi="Arial" w:cs="Arial"/>
          <w:sz w:val="24"/>
          <w:szCs w:val="24"/>
        </w:rPr>
        <w:t>refatorar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sem medo e captura regressões cedo (BECK, 2003).</w:t>
      </w:r>
    </w:p>
    <w:p w14:paraId="2E91094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1E87F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CI/CD: automatiza build, </w:t>
      </w:r>
      <w:proofErr w:type="spellStart"/>
      <w:r w:rsidRPr="00BF1B43">
        <w:rPr>
          <w:rFonts w:ascii="Arial" w:hAnsi="Arial" w:cs="Arial"/>
          <w:sz w:val="24"/>
          <w:szCs w:val="24"/>
        </w:rPr>
        <w:t>linters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1B43">
        <w:rPr>
          <w:rFonts w:ascii="Arial" w:hAnsi="Arial" w:cs="Arial"/>
          <w:sz w:val="24"/>
          <w:szCs w:val="24"/>
        </w:rPr>
        <w:t>tests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1B43">
        <w:rPr>
          <w:rFonts w:ascii="Arial" w:hAnsi="Arial" w:cs="Arial"/>
          <w:sz w:val="24"/>
          <w:szCs w:val="24"/>
        </w:rPr>
        <w:t>code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scanning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F1B43">
        <w:rPr>
          <w:rFonts w:ascii="Arial" w:hAnsi="Arial" w:cs="Arial"/>
          <w:sz w:val="24"/>
          <w:szCs w:val="24"/>
        </w:rPr>
        <w:t>deploy</w:t>
      </w:r>
      <w:proofErr w:type="spellEnd"/>
      <w:r w:rsidRPr="00BF1B43">
        <w:rPr>
          <w:rFonts w:ascii="Arial" w:hAnsi="Arial" w:cs="Arial"/>
          <w:sz w:val="24"/>
          <w:szCs w:val="24"/>
        </w:rPr>
        <w:t>, oferecendo feedback contínuo e qualidade previsível (HUMBLE; FARLEY, 2010; PRESSMAN; MAXIM, 2016).</w:t>
      </w:r>
    </w:p>
    <w:p w14:paraId="6753FDE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3F7C1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Resultado humano: menos retrabalho, menos “quebra em produção” e ritmo sustentável.</w:t>
      </w:r>
    </w:p>
    <w:p w14:paraId="4A87CED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1754E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lastRenderedPageBreak/>
        <w:t>5. Plano de Testes</w:t>
      </w:r>
    </w:p>
    <w:p w14:paraId="3520848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5.1. Verificação e Validação; pirâmide de testes</w:t>
      </w:r>
    </w:p>
    <w:p w14:paraId="3B89C0E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BA5A2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Verificação: “construímos certo?” — revisão, análise estática, unitários e integração.</w:t>
      </w:r>
    </w:p>
    <w:p w14:paraId="3E2143C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326A0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Validação: “construímos a coisa certa?” — aceitação com organizadores/participantes e usabilidade (PRESSMAN; MAXIM, 2016).</w:t>
      </w:r>
    </w:p>
    <w:p w14:paraId="3219AF7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6D087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Adota-se a pirâmide: muitos unitários (regras do domínio), uma camada estável de integração/contrato (APIs, DB, filas) e poucos E2E para fluxos críticos. </w:t>
      </w:r>
      <w:proofErr w:type="spellStart"/>
      <w:r w:rsidRPr="00BF1B43">
        <w:rPr>
          <w:rFonts w:ascii="Arial" w:hAnsi="Arial" w:cs="Arial"/>
          <w:sz w:val="24"/>
          <w:szCs w:val="24"/>
        </w:rPr>
        <w:t>Contract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tests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1B43">
        <w:rPr>
          <w:rFonts w:ascii="Arial" w:hAnsi="Arial" w:cs="Arial"/>
          <w:sz w:val="24"/>
          <w:szCs w:val="24"/>
        </w:rPr>
        <w:t>consumer-driven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) mantêm compatibilidade entre clientes e provedores; </w:t>
      </w:r>
      <w:proofErr w:type="spellStart"/>
      <w:r w:rsidRPr="00BF1B43">
        <w:rPr>
          <w:rFonts w:ascii="Arial" w:hAnsi="Arial" w:cs="Arial"/>
          <w:sz w:val="24"/>
          <w:szCs w:val="24"/>
        </w:rPr>
        <w:t>property-based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cobre regras algorítmicas (ex.: presença mínima) (NEWMAN, 2021; GONÇALVES et al., 2019; FILHO, 2019).</w:t>
      </w:r>
    </w:p>
    <w:p w14:paraId="57EA01A9" w14:textId="77777777" w:rsidR="00BF1B43" w:rsidRPr="00BF1B43" w:rsidRDefault="00BF1B43" w:rsidP="00BF1B4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74EA11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5.2. Testes não funcionais (onde dói na prática)</w:t>
      </w:r>
    </w:p>
    <w:p w14:paraId="2E86AA0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358AA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Desempenho: carga (uso esperado) e estresse (até o limite), com </w:t>
      </w:r>
      <w:proofErr w:type="spellStart"/>
      <w:r w:rsidRPr="00BF1B43">
        <w:rPr>
          <w:rFonts w:ascii="Arial" w:hAnsi="Arial" w:cs="Arial"/>
          <w:sz w:val="24"/>
          <w:szCs w:val="24"/>
        </w:rPr>
        <w:t>ramp-up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10k → 25k → 50k; monitorar p95 de latência, </w:t>
      </w:r>
      <w:proofErr w:type="spellStart"/>
      <w:r w:rsidRPr="00BF1B43">
        <w:rPr>
          <w:rFonts w:ascii="Arial" w:hAnsi="Arial" w:cs="Arial"/>
          <w:sz w:val="24"/>
          <w:szCs w:val="24"/>
        </w:rPr>
        <w:t>throughput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e erros (GONÇALVES et al., 2019).</w:t>
      </w:r>
    </w:p>
    <w:p w14:paraId="44145C9E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31E54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Segurança/LGPD: validação de entradas, RBAC/ABAC, criptografia, logs/auditoria com mascaramento de PII, consentimento e DSR; SAST/DAST, </w:t>
      </w:r>
      <w:proofErr w:type="spellStart"/>
      <w:r w:rsidRPr="00BF1B43">
        <w:rPr>
          <w:rFonts w:ascii="Arial" w:hAnsi="Arial" w:cs="Arial"/>
          <w:sz w:val="24"/>
          <w:szCs w:val="24"/>
        </w:rPr>
        <w:t>secret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scanning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BF1B43">
        <w:rPr>
          <w:rFonts w:ascii="Arial" w:hAnsi="Arial" w:cs="Arial"/>
          <w:sz w:val="24"/>
          <w:szCs w:val="24"/>
        </w:rPr>
        <w:t>Threat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Modeling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(OWASP, 2021).</w:t>
      </w:r>
    </w:p>
    <w:p w14:paraId="013694E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FAA11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Usabilidade/Acessibilidade: protótipos com usuários e conformidade WCAG, alinhados à validação (PRESSMAN; MAXIM, 2016).</w:t>
      </w:r>
    </w:p>
    <w:p w14:paraId="1B035E15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3CFF5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lastRenderedPageBreak/>
        <w:t>5.3. Rastreabilidade e critérios de aceite</w:t>
      </w:r>
    </w:p>
    <w:p w14:paraId="1E1D900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2B3AB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Matriz de rastreabilidade (requisito → caso de uso → caso de teste → defeito) dá transparência e cobertura (FILHO, 2019). Critérios de aceite (BDD/</w:t>
      </w:r>
      <w:proofErr w:type="spellStart"/>
      <w:r w:rsidRPr="00BF1B43">
        <w:rPr>
          <w:rFonts w:ascii="Arial" w:hAnsi="Arial" w:cs="Arial"/>
          <w:sz w:val="24"/>
          <w:szCs w:val="24"/>
        </w:rPr>
        <w:t>Gherkin</w:t>
      </w:r>
      <w:proofErr w:type="spellEnd"/>
      <w:r w:rsidRPr="00BF1B43">
        <w:rPr>
          <w:rFonts w:ascii="Arial" w:hAnsi="Arial" w:cs="Arial"/>
          <w:sz w:val="24"/>
          <w:szCs w:val="24"/>
        </w:rPr>
        <w:t>) tornam a satisfação verificável e conversam bem com TDD/CI.</w:t>
      </w:r>
    </w:p>
    <w:p w14:paraId="6878D7C5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FA977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5.4. Critérios de performance (sugeridos)</w:t>
      </w:r>
    </w:p>
    <w:p w14:paraId="6E92074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2DEE4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Tempo de resposta (p95): &lt; 200 </w:t>
      </w:r>
      <w:proofErr w:type="spellStart"/>
      <w:r w:rsidRPr="00BF1B43">
        <w:rPr>
          <w:rFonts w:ascii="Arial" w:hAnsi="Arial" w:cs="Arial"/>
          <w:sz w:val="24"/>
          <w:szCs w:val="24"/>
        </w:rPr>
        <w:t>ms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para consultas; &lt; 600 </w:t>
      </w:r>
      <w:proofErr w:type="spellStart"/>
      <w:r w:rsidRPr="00BF1B43">
        <w:rPr>
          <w:rFonts w:ascii="Arial" w:hAnsi="Arial" w:cs="Arial"/>
          <w:sz w:val="24"/>
          <w:szCs w:val="24"/>
        </w:rPr>
        <w:t>ms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para operações críticas.</w:t>
      </w:r>
    </w:p>
    <w:p w14:paraId="441A2E1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683480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F1B43">
        <w:rPr>
          <w:rFonts w:ascii="Arial" w:hAnsi="Arial" w:cs="Arial"/>
          <w:sz w:val="24"/>
          <w:szCs w:val="24"/>
        </w:rPr>
        <w:t>Throughput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: &gt; 10.000 </w:t>
      </w:r>
      <w:proofErr w:type="spellStart"/>
      <w:r w:rsidRPr="00BF1B43">
        <w:rPr>
          <w:rFonts w:ascii="Arial" w:hAnsi="Arial" w:cs="Arial"/>
          <w:sz w:val="24"/>
          <w:szCs w:val="24"/>
        </w:rPr>
        <w:t>req</w:t>
      </w:r>
      <w:proofErr w:type="spellEnd"/>
      <w:r w:rsidRPr="00BF1B43">
        <w:rPr>
          <w:rFonts w:ascii="Arial" w:hAnsi="Arial" w:cs="Arial"/>
          <w:sz w:val="24"/>
          <w:szCs w:val="24"/>
        </w:rPr>
        <w:t>/min em pico.</w:t>
      </w:r>
    </w:p>
    <w:p w14:paraId="27B2F92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0D212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Concorrência: 50.000 usuários simultâneos (streaming e CDN fazem o “peso pesado”).</w:t>
      </w:r>
    </w:p>
    <w:p w14:paraId="4ABE137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FE63F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Taxa de erro: &lt; 0,1%.</w:t>
      </w:r>
    </w:p>
    <w:p w14:paraId="524E1ED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0156B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5.5. Ferramentas (indicativas)</w:t>
      </w:r>
    </w:p>
    <w:p w14:paraId="4067E6E5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11BF2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Unitários: </w:t>
      </w:r>
      <w:proofErr w:type="spellStart"/>
      <w:r w:rsidRPr="00BF1B43">
        <w:rPr>
          <w:rFonts w:ascii="Arial" w:hAnsi="Arial" w:cs="Arial"/>
          <w:sz w:val="24"/>
          <w:szCs w:val="24"/>
        </w:rPr>
        <w:t>JUnit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5, </w:t>
      </w:r>
      <w:proofErr w:type="spellStart"/>
      <w:r w:rsidRPr="00BF1B43">
        <w:rPr>
          <w:rFonts w:ascii="Arial" w:hAnsi="Arial" w:cs="Arial"/>
          <w:sz w:val="24"/>
          <w:szCs w:val="24"/>
        </w:rPr>
        <w:t>Mockito</w:t>
      </w:r>
      <w:proofErr w:type="spellEnd"/>
      <w:r w:rsidRPr="00BF1B43">
        <w:rPr>
          <w:rFonts w:ascii="Arial" w:hAnsi="Arial" w:cs="Arial"/>
          <w:sz w:val="24"/>
          <w:szCs w:val="24"/>
        </w:rPr>
        <w:t>.</w:t>
      </w:r>
    </w:p>
    <w:p w14:paraId="5CDFEEF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DFA73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Integração: </w:t>
      </w:r>
      <w:proofErr w:type="spellStart"/>
      <w:r w:rsidRPr="00BF1B43">
        <w:rPr>
          <w:rFonts w:ascii="Arial" w:hAnsi="Arial" w:cs="Arial"/>
          <w:sz w:val="24"/>
          <w:szCs w:val="24"/>
        </w:rPr>
        <w:t>Testcontainers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1B43">
        <w:rPr>
          <w:rFonts w:ascii="Arial" w:hAnsi="Arial" w:cs="Arial"/>
          <w:sz w:val="24"/>
          <w:szCs w:val="24"/>
        </w:rPr>
        <w:t>WireMock</w:t>
      </w:r>
      <w:proofErr w:type="spellEnd"/>
      <w:r w:rsidRPr="00BF1B43">
        <w:rPr>
          <w:rFonts w:ascii="Arial" w:hAnsi="Arial" w:cs="Arial"/>
          <w:sz w:val="24"/>
          <w:szCs w:val="24"/>
        </w:rPr>
        <w:t>.</w:t>
      </w:r>
    </w:p>
    <w:p w14:paraId="401DC96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C3927C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Carga: </w:t>
      </w:r>
      <w:proofErr w:type="spellStart"/>
      <w:r w:rsidRPr="00BF1B43">
        <w:rPr>
          <w:rFonts w:ascii="Arial" w:hAnsi="Arial" w:cs="Arial"/>
          <w:sz w:val="24"/>
          <w:szCs w:val="24"/>
        </w:rPr>
        <w:t>JMeter</w:t>
      </w:r>
      <w:proofErr w:type="spellEnd"/>
      <w:r w:rsidRPr="00BF1B43">
        <w:rPr>
          <w:rFonts w:ascii="Arial" w:hAnsi="Arial" w:cs="Arial"/>
          <w:sz w:val="24"/>
          <w:szCs w:val="24"/>
        </w:rPr>
        <w:t>, k6.</w:t>
      </w:r>
    </w:p>
    <w:p w14:paraId="56D78FBD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B226B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lastRenderedPageBreak/>
        <w:t xml:space="preserve">E2E: </w:t>
      </w:r>
      <w:proofErr w:type="spellStart"/>
      <w:r w:rsidRPr="00BF1B43">
        <w:rPr>
          <w:rFonts w:ascii="Arial" w:hAnsi="Arial" w:cs="Arial"/>
          <w:sz w:val="24"/>
          <w:szCs w:val="24"/>
        </w:rPr>
        <w:t>Cypress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F1B43">
        <w:rPr>
          <w:rFonts w:ascii="Arial" w:hAnsi="Arial" w:cs="Arial"/>
          <w:sz w:val="24"/>
          <w:szCs w:val="24"/>
        </w:rPr>
        <w:t>Playwright</w:t>
      </w:r>
      <w:proofErr w:type="spellEnd"/>
      <w:r w:rsidRPr="00BF1B43">
        <w:rPr>
          <w:rFonts w:ascii="Arial" w:hAnsi="Arial" w:cs="Arial"/>
          <w:sz w:val="24"/>
          <w:szCs w:val="24"/>
        </w:rPr>
        <w:t>.</w:t>
      </w:r>
    </w:p>
    <w:p w14:paraId="1B8336C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D87DE1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Segurança: OWASP ZAP, </w:t>
      </w:r>
      <w:proofErr w:type="spellStart"/>
      <w:r w:rsidRPr="00BF1B43">
        <w:rPr>
          <w:rFonts w:ascii="Arial" w:hAnsi="Arial" w:cs="Arial"/>
          <w:sz w:val="24"/>
          <w:szCs w:val="24"/>
        </w:rPr>
        <w:t>SonarQube</w:t>
      </w:r>
      <w:proofErr w:type="spellEnd"/>
      <w:r w:rsidRPr="00BF1B43">
        <w:rPr>
          <w:rFonts w:ascii="Arial" w:hAnsi="Arial" w:cs="Arial"/>
          <w:sz w:val="24"/>
          <w:szCs w:val="24"/>
        </w:rPr>
        <w:t>.</w:t>
      </w:r>
    </w:p>
    <w:p w14:paraId="7361EC90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BD49A0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6. Conclusão</w:t>
      </w:r>
    </w:p>
    <w:p w14:paraId="0EBE359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1B0A72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A proposta começa simples para aprender rápido com usuários, sem fechar portas para o futuro. Casos de uso mantêm o foco no valor; DDD organiza o conhecimento; camadas + Hexagonal separam regra de tecnologia; SOLID garante que tudo isso se mantenha limpo no código; TDD/CI/CD transformam intenção em qualidade verificável. É menos sobre jargão e mais sobre coerência entre intenção, execução e manutenção (EVANS, 2004; MARTIN, 2017; PRESSMAN; MAXIM, 2016; FILHO, 2019; FOWLER, 2015).</w:t>
      </w:r>
    </w:p>
    <w:p w14:paraId="526C856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4710B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Referências (ABNT)</w:t>
      </w:r>
    </w:p>
    <w:p w14:paraId="49593B2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4059D4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BECK, K. Test-</w:t>
      </w:r>
      <w:proofErr w:type="spellStart"/>
      <w:r w:rsidRPr="00BF1B43">
        <w:rPr>
          <w:rFonts w:ascii="Arial" w:hAnsi="Arial" w:cs="Arial"/>
          <w:sz w:val="24"/>
          <w:szCs w:val="24"/>
        </w:rPr>
        <w:t>Driven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Development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F1B43">
        <w:rPr>
          <w:rFonts w:ascii="Arial" w:hAnsi="Arial" w:cs="Arial"/>
          <w:sz w:val="24"/>
          <w:szCs w:val="24"/>
        </w:rPr>
        <w:t>By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Example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. Boston: </w:t>
      </w:r>
      <w:proofErr w:type="spellStart"/>
      <w:r w:rsidRPr="00BF1B43">
        <w:rPr>
          <w:rFonts w:ascii="Arial" w:hAnsi="Arial" w:cs="Arial"/>
          <w:sz w:val="24"/>
          <w:szCs w:val="24"/>
        </w:rPr>
        <w:t>Addison</w:t>
      </w:r>
      <w:proofErr w:type="spellEnd"/>
      <w:r w:rsidRPr="00BF1B43">
        <w:rPr>
          <w:rFonts w:ascii="Arial" w:hAnsi="Arial" w:cs="Arial"/>
          <w:sz w:val="24"/>
          <w:szCs w:val="24"/>
        </w:rPr>
        <w:t>-Wesley, 2003.</w:t>
      </w:r>
    </w:p>
    <w:p w14:paraId="62C31F7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BROWN, S. Software </w:t>
      </w:r>
      <w:proofErr w:type="spellStart"/>
      <w:r w:rsidRPr="00BF1B43">
        <w:rPr>
          <w:rFonts w:ascii="Arial" w:hAnsi="Arial" w:cs="Arial"/>
          <w:sz w:val="24"/>
          <w:szCs w:val="24"/>
        </w:rPr>
        <w:t>Architecture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BF1B43">
        <w:rPr>
          <w:rFonts w:ascii="Arial" w:hAnsi="Arial" w:cs="Arial"/>
          <w:sz w:val="24"/>
          <w:szCs w:val="24"/>
        </w:rPr>
        <w:t>Developers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. 2. ed. London: </w:t>
      </w:r>
      <w:proofErr w:type="spellStart"/>
      <w:r w:rsidRPr="00BF1B43">
        <w:rPr>
          <w:rFonts w:ascii="Arial" w:hAnsi="Arial" w:cs="Arial"/>
          <w:sz w:val="24"/>
          <w:szCs w:val="24"/>
        </w:rPr>
        <w:t>Leanpub</w:t>
      </w:r>
      <w:proofErr w:type="spellEnd"/>
      <w:r w:rsidRPr="00BF1B43">
        <w:rPr>
          <w:rFonts w:ascii="Arial" w:hAnsi="Arial" w:cs="Arial"/>
          <w:sz w:val="24"/>
          <w:szCs w:val="24"/>
        </w:rPr>
        <w:t>, 2018.</w:t>
      </w:r>
    </w:p>
    <w:p w14:paraId="729ADF09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EVANS, E. Domain-</w:t>
      </w:r>
      <w:proofErr w:type="spellStart"/>
      <w:r w:rsidRPr="00BF1B43">
        <w:rPr>
          <w:rFonts w:ascii="Arial" w:hAnsi="Arial" w:cs="Arial"/>
          <w:sz w:val="24"/>
          <w:szCs w:val="24"/>
        </w:rPr>
        <w:t>Driven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Design: </w:t>
      </w:r>
      <w:proofErr w:type="spellStart"/>
      <w:r w:rsidRPr="00BF1B43">
        <w:rPr>
          <w:rFonts w:ascii="Arial" w:hAnsi="Arial" w:cs="Arial"/>
          <w:sz w:val="24"/>
          <w:szCs w:val="24"/>
        </w:rPr>
        <w:t>Tackling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Complexity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BF1B43">
        <w:rPr>
          <w:rFonts w:ascii="Arial" w:hAnsi="Arial" w:cs="Arial"/>
          <w:sz w:val="24"/>
          <w:szCs w:val="24"/>
        </w:rPr>
        <w:t>the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Heart </w:t>
      </w:r>
      <w:proofErr w:type="spellStart"/>
      <w:r w:rsidRPr="00BF1B43">
        <w:rPr>
          <w:rFonts w:ascii="Arial" w:hAnsi="Arial" w:cs="Arial"/>
          <w:sz w:val="24"/>
          <w:szCs w:val="24"/>
        </w:rPr>
        <w:t>of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Software. Boston: </w:t>
      </w:r>
      <w:proofErr w:type="spellStart"/>
      <w:r w:rsidRPr="00BF1B43">
        <w:rPr>
          <w:rFonts w:ascii="Arial" w:hAnsi="Arial" w:cs="Arial"/>
          <w:sz w:val="24"/>
          <w:szCs w:val="24"/>
        </w:rPr>
        <w:t>Addison</w:t>
      </w:r>
      <w:proofErr w:type="spellEnd"/>
      <w:r w:rsidRPr="00BF1B43">
        <w:rPr>
          <w:rFonts w:ascii="Arial" w:hAnsi="Arial" w:cs="Arial"/>
          <w:sz w:val="24"/>
          <w:szCs w:val="24"/>
        </w:rPr>
        <w:t>-Wesley, 2004.</w:t>
      </w:r>
    </w:p>
    <w:p w14:paraId="3A6B4F0F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FILHO, W. de P. P. Engenharia de Software – Produtos. 4. ed. Rio de Janeiro: LTC, 2019.</w:t>
      </w:r>
    </w:p>
    <w:p w14:paraId="41C4D6C7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GAMMA, E. et al. Design </w:t>
      </w:r>
      <w:proofErr w:type="spellStart"/>
      <w:r w:rsidRPr="00BF1B43">
        <w:rPr>
          <w:rFonts w:ascii="Arial" w:hAnsi="Arial" w:cs="Arial"/>
          <w:sz w:val="24"/>
          <w:szCs w:val="24"/>
        </w:rPr>
        <w:t>Patterns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F1B43">
        <w:rPr>
          <w:rFonts w:ascii="Arial" w:hAnsi="Arial" w:cs="Arial"/>
          <w:sz w:val="24"/>
          <w:szCs w:val="24"/>
        </w:rPr>
        <w:t>Elements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of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Reusable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Object-Oriented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Software. Boston: </w:t>
      </w:r>
      <w:proofErr w:type="spellStart"/>
      <w:r w:rsidRPr="00BF1B43">
        <w:rPr>
          <w:rFonts w:ascii="Arial" w:hAnsi="Arial" w:cs="Arial"/>
          <w:sz w:val="24"/>
          <w:szCs w:val="24"/>
        </w:rPr>
        <w:t>Addison</w:t>
      </w:r>
      <w:proofErr w:type="spellEnd"/>
      <w:r w:rsidRPr="00BF1B43">
        <w:rPr>
          <w:rFonts w:ascii="Arial" w:hAnsi="Arial" w:cs="Arial"/>
          <w:sz w:val="24"/>
          <w:szCs w:val="24"/>
        </w:rPr>
        <w:t>-Wesley, 1994.</w:t>
      </w:r>
    </w:p>
    <w:p w14:paraId="37707273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GONÇALVES, P. de F. et al. Testes de software e gerência de configuração. Porto Alegre: Grupo A, 2019.</w:t>
      </w:r>
    </w:p>
    <w:p w14:paraId="6FE37DAA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lastRenderedPageBreak/>
        <w:t xml:space="preserve">HUMBLE, J.; FARLEY, D. </w:t>
      </w:r>
      <w:proofErr w:type="spellStart"/>
      <w:r w:rsidRPr="00BF1B43">
        <w:rPr>
          <w:rFonts w:ascii="Arial" w:hAnsi="Arial" w:cs="Arial"/>
          <w:sz w:val="24"/>
          <w:szCs w:val="24"/>
        </w:rPr>
        <w:t>Continuous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Delivery. Boston: </w:t>
      </w:r>
      <w:proofErr w:type="spellStart"/>
      <w:r w:rsidRPr="00BF1B43">
        <w:rPr>
          <w:rFonts w:ascii="Arial" w:hAnsi="Arial" w:cs="Arial"/>
          <w:sz w:val="24"/>
          <w:szCs w:val="24"/>
        </w:rPr>
        <w:t>Addison</w:t>
      </w:r>
      <w:proofErr w:type="spellEnd"/>
      <w:r w:rsidRPr="00BF1B43">
        <w:rPr>
          <w:rFonts w:ascii="Arial" w:hAnsi="Arial" w:cs="Arial"/>
          <w:sz w:val="24"/>
          <w:szCs w:val="24"/>
        </w:rPr>
        <w:t>-Wesley, 2010.</w:t>
      </w:r>
    </w:p>
    <w:p w14:paraId="0558E570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ISO/IEC. ISO/IEC 25010: Systems </w:t>
      </w:r>
      <w:proofErr w:type="spellStart"/>
      <w:r w:rsidRPr="00BF1B43">
        <w:rPr>
          <w:rFonts w:ascii="Arial" w:hAnsi="Arial" w:cs="Arial"/>
          <w:sz w:val="24"/>
          <w:szCs w:val="24"/>
        </w:rPr>
        <w:t>and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BF1B43">
        <w:rPr>
          <w:rFonts w:ascii="Arial" w:hAnsi="Arial" w:cs="Arial"/>
          <w:sz w:val="24"/>
          <w:szCs w:val="24"/>
        </w:rPr>
        <w:t>Quality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Requirements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and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1B43">
        <w:rPr>
          <w:rFonts w:ascii="Arial" w:hAnsi="Arial" w:cs="Arial"/>
          <w:sz w:val="24"/>
          <w:szCs w:val="24"/>
        </w:rPr>
        <w:t>Evaluation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1B43">
        <w:rPr>
          <w:rFonts w:ascii="Arial" w:hAnsi="Arial" w:cs="Arial"/>
          <w:sz w:val="24"/>
          <w:szCs w:val="24"/>
        </w:rPr>
        <w:t>SQuaRE</w:t>
      </w:r>
      <w:proofErr w:type="spellEnd"/>
      <w:r w:rsidRPr="00BF1B43">
        <w:rPr>
          <w:rFonts w:ascii="Arial" w:hAnsi="Arial" w:cs="Arial"/>
          <w:sz w:val="24"/>
          <w:szCs w:val="24"/>
        </w:rPr>
        <w:t>). Geneva: ISO, 2011.</w:t>
      </w:r>
    </w:p>
    <w:p w14:paraId="3E66A4C6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MARTIN, R. C. Clean </w:t>
      </w:r>
      <w:proofErr w:type="spellStart"/>
      <w:r w:rsidRPr="00BF1B43">
        <w:rPr>
          <w:rFonts w:ascii="Arial" w:hAnsi="Arial" w:cs="Arial"/>
          <w:sz w:val="24"/>
          <w:szCs w:val="24"/>
        </w:rPr>
        <w:t>Architecture</w:t>
      </w:r>
      <w:proofErr w:type="spellEnd"/>
      <w:r w:rsidRPr="00BF1B43">
        <w:rPr>
          <w:rFonts w:ascii="Arial" w:hAnsi="Arial" w:cs="Arial"/>
          <w:sz w:val="24"/>
          <w:szCs w:val="24"/>
        </w:rPr>
        <w:t>. Boston: Prentice Hall, 2017.</w:t>
      </w:r>
    </w:p>
    <w:p w14:paraId="02CC046B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NEWMAN, S. Building </w:t>
      </w:r>
      <w:proofErr w:type="spellStart"/>
      <w:r w:rsidRPr="00BF1B43">
        <w:rPr>
          <w:rFonts w:ascii="Arial" w:hAnsi="Arial" w:cs="Arial"/>
          <w:sz w:val="24"/>
          <w:szCs w:val="24"/>
        </w:rPr>
        <w:t>Microservices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. 2. ed. Sebastopol: </w:t>
      </w:r>
      <w:proofErr w:type="spellStart"/>
      <w:r w:rsidRPr="00BF1B43">
        <w:rPr>
          <w:rFonts w:ascii="Arial" w:hAnsi="Arial" w:cs="Arial"/>
          <w:sz w:val="24"/>
          <w:szCs w:val="24"/>
        </w:rPr>
        <w:t>O’Reilly</w:t>
      </w:r>
      <w:proofErr w:type="spellEnd"/>
      <w:r w:rsidRPr="00BF1B43">
        <w:rPr>
          <w:rFonts w:ascii="Arial" w:hAnsi="Arial" w:cs="Arial"/>
          <w:sz w:val="24"/>
          <w:szCs w:val="24"/>
        </w:rPr>
        <w:t>, 2021.</w:t>
      </w:r>
    </w:p>
    <w:p w14:paraId="67D2311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OWASP. Top 10: 2021; </w:t>
      </w:r>
      <w:proofErr w:type="spellStart"/>
      <w:r w:rsidRPr="00BF1B43">
        <w:rPr>
          <w:rFonts w:ascii="Arial" w:hAnsi="Arial" w:cs="Arial"/>
          <w:sz w:val="24"/>
          <w:szCs w:val="24"/>
        </w:rPr>
        <w:t>Application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Security </w:t>
      </w:r>
      <w:proofErr w:type="spellStart"/>
      <w:r w:rsidRPr="00BF1B43">
        <w:rPr>
          <w:rFonts w:ascii="Arial" w:hAnsi="Arial" w:cs="Arial"/>
          <w:sz w:val="24"/>
          <w:szCs w:val="24"/>
        </w:rPr>
        <w:t>Verification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Standard (ASVS) 4.0. OWASP Foundation, 2021.</w:t>
      </w:r>
    </w:p>
    <w:p w14:paraId="05B256B8" w14:textId="77777777" w:rsidR="00BF1B43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>PRESSMAN, R. S.; MAXIM, B. R. Engenharia de software: uma abordagem profissional. 8. ed. Porto Alegre: AMGH, 2016.</w:t>
      </w:r>
    </w:p>
    <w:p w14:paraId="3756007D" w14:textId="25B571AA" w:rsidR="004F610E" w:rsidRPr="00BF1B43" w:rsidRDefault="00BF1B43" w:rsidP="00BF1B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F1B43">
        <w:rPr>
          <w:rFonts w:ascii="Arial" w:hAnsi="Arial" w:cs="Arial"/>
          <w:sz w:val="24"/>
          <w:szCs w:val="24"/>
        </w:rPr>
        <w:t xml:space="preserve">RICHARDS, M.; FORD, N. Fundamentals </w:t>
      </w:r>
      <w:proofErr w:type="spellStart"/>
      <w:r w:rsidRPr="00BF1B43">
        <w:rPr>
          <w:rFonts w:ascii="Arial" w:hAnsi="Arial" w:cs="Arial"/>
          <w:sz w:val="24"/>
          <w:szCs w:val="24"/>
        </w:rPr>
        <w:t>of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BF1B43">
        <w:rPr>
          <w:rFonts w:ascii="Arial" w:hAnsi="Arial" w:cs="Arial"/>
          <w:sz w:val="24"/>
          <w:szCs w:val="24"/>
        </w:rPr>
        <w:t>Architecture</w:t>
      </w:r>
      <w:proofErr w:type="spellEnd"/>
      <w:r w:rsidRPr="00BF1B43">
        <w:rPr>
          <w:rFonts w:ascii="Arial" w:hAnsi="Arial" w:cs="Arial"/>
          <w:sz w:val="24"/>
          <w:szCs w:val="24"/>
        </w:rPr>
        <w:t xml:space="preserve">. Sebastopol: </w:t>
      </w:r>
      <w:proofErr w:type="spellStart"/>
      <w:r w:rsidRPr="00BF1B43">
        <w:rPr>
          <w:rFonts w:ascii="Arial" w:hAnsi="Arial" w:cs="Arial"/>
          <w:sz w:val="24"/>
          <w:szCs w:val="24"/>
        </w:rPr>
        <w:t>O’Reilly</w:t>
      </w:r>
      <w:proofErr w:type="spellEnd"/>
      <w:r w:rsidRPr="00BF1B43">
        <w:rPr>
          <w:rFonts w:ascii="Arial" w:hAnsi="Arial" w:cs="Arial"/>
          <w:sz w:val="24"/>
          <w:szCs w:val="24"/>
        </w:rPr>
        <w:t>, 2020.</w:t>
      </w:r>
    </w:p>
    <w:sectPr w:rsidR="004F610E" w:rsidRPr="00BF1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DF"/>
    <w:rsid w:val="0043523B"/>
    <w:rsid w:val="004F610E"/>
    <w:rsid w:val="005C16DF"/>
    <w:rsid w:val="00BF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950D0D-986E-42AB-86C7-D39AD402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70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1596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2025-09-19T17:56:00Z</dcterms:created>
  <dcterms:modified xsi:type="dcterms:W3CDTF">2025-09-19T21:58:00Z</dcterms:modified>
</cp:coreProperties>
</file>