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400"/>
      </w:pPr>
      <w:r>
        <w:rPr>
          <w:rFonts w:ascii="Arial" w:hAnsi="Arial"/>
          <w:color w:val="5E7890"/>
          <w:sz w:val="34"/>
        </w:rPr>
        <w:t>Wellness Lodge</w:t>
      </w:r>
    </w:p>
    <w:p>
      <w:pPr>
        <w:pStyle w:val="Title"/>
      </w:pPr>
      <w:r>
        <w:t>Domain DNS email and hosting procurement plan</w:t>
      </w:r>
    </w:p>
    <w:p>
      <w:pPr>
        <w:spacing w:before="140" w:after="600"/>
      </w:pPr>
      <w:r>
        <w:rPr>
          <w:color w:val="445566"/>
          <w:sz w:val="23"/>
        </w:rPr>
        <w:t>Recommended service arrangement and purchasing checks for wellnesslodge.com.pg</w:t>
      </w:r>
    </w:p>
    <w:tbl>
      <w:tblPr>
        <w:tblW w:type="auto" w:w="0"/>
        <w:tblLayout w:type="fixed"/>
        <w:tblLook w:firstColumn="1" w:firstRow="1" w:lastColumn="0" w:lastRow="0" w:noHBand="0" w:noVBand="1" w:val="04A0"/>
      </w:tblPr>
      <w:tblGrid>
        <w:gridCol w:w="3024"/>
        <w:gridCol w:w="4032"/>
        <w:gridCol w:w="2880"/>
      </w:tblGrid>
      <w:tr>
        <w:trPr>
          <w:tblHeader/>
        </w:trPr>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STATUS</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PREPARED FOR</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DATE</w:t>
            </w:r>
          </w:p>
        </w:tc>
      </w:tr>
      <w:tr>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For management review and provider quotation</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Hotel or lodge management</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5 September 2026</w:t>
            </w:r>
          </w:p>
        </w:tc>
      </w:tr>
    </w:tbl>
    <w:p>
      <w:r>
        <w:br w:type="page"/>
      </w:r>
    </w:p>
    <w:p>
      <w:pPr>
        <w:pStyle w:val="Heading1"/>
      </w:pPr>
      <w:r>
        <w:t>1 Recommended decision</w:t>
      </w:r>
    </w:p>
    <w:p>
      <w:r>
        <w:t>The selected arrangement is to register wellnesslodge.com.pg through PNGUoT, use Google Cloud DNS for the authoritative name servers, use Namecheap Stellar for ten separate email mailboxes, and run the website and reservation platform on Firebase. Namecheap has confirmed that its shared hosting name servers cannot answer authoritatively for the domain before registration and delegation. They will therefore not be entered in the PNGUoT application.</w:t>
      </w:r>
    </w:p>
    <w:p>
      <w:r>
        <w:t>A public zone will first be created in Google Cloud DNS. Google will issue the authoritative name servers needed for the PNGUoT application. After PNGUoT delegates the domain, Firebase website records and Namecheap email records will be added to the Google Cloud DNS zone. Google Cloud DNS will remain authoritative. Namecheap will provide email hosting only.</w:t>
      </w:r>
    </w:p>
    <w:p>
      <w:pPr>
        <w:pStyle w:val="Heading1"/>
      </w:pPr>
      <w:r>
        <w:t>2 What is being purchased</w:t>
      </w:r>
    </w:p>
    <w:p>
      <w:r>
        <w:t>cPanel is the control panel included with Namecheap Stellar. In this arrangement it will be used to create and manage the ten email accounts. DNS records will not be managed in cPanel because Google Cloud DNS will remain authoritative. The lodge does not need a separate cPanel licence or private server.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208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Service</w:t>
            </w:r>
          </w:p>
        </w:tc>
        <w:tc>
          <w:tcPr>
            <w:tcW w:type="dxa" w:w="46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Selected use</w:t>
            </w:r>
          </w:p>
        </w:tc>
        <w:tc>
          <w:tcPr>
            <w:tcW w:type="dxa" w:w="331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Provider</w:t>
            </w:r>
          </w:p>
        </w:tc>
      </w:tr>
      <w:tr>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Domain registration</w:t>
            </w:r>
          </w:p>
        </w:tc>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Registration and renewal of wellnesslodge.com.pg</w:t>
            </w:r>
          </w:p>
        </w:tc>
        <w:tc>
          <w:tcPr>
            <w:tcW w:type="dxa" w:w="3312"/>
            <w:vAlign w:val="center"/>
            <w:tcMar>
              <w:top w:w="110" w:type="dxa"/>
              <w:start w:w="120" w:type="dxa"/>
              <w:bottom w:w="110" w:type="dxa"/>
              <w:end w:w="120" w:type="dxa"/>
            </w:tcMar>
          </w:tcPr>
          <w:p>
            <w:pPr>
              <w:spacing w:after="0" w:line="252" w:lineRule="auto"/>
            </w:pPr>
            <w:r/>
            <w:r>
              <w:rPr>
                <w:rFonts w:ascii="Arial" w:hAnsi="Arial"/>
                <w:b w:val="0"/>
                <w:color w:val="000000"/>
                <w:sz w:val="18"/>
              </w:rPr>
              <w:t>PNGUoT</w:t>
            </w:r>
          </w:p>
        </w:tc>
      </w:tr>
      <w:tr>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Authoritative DNS</w:t>
            </w:r>
          </w:p>
        </w:tc>
        <w:tc>
          <w:tcPr>
            <w:tcW w:type="dxa" w:w="46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Name servers and records connecting the domain to each service</w:t>
            </w:r>
          </w:p>
        </w:tc>
        <w:tc>
          <w:tcPr>
            <w:tcW w:type="dxa" w:w="331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Google Cloud DNS</w:t>
            </w:r>
          </w:p>
        </w:tc>
      </w:tr>
      <w:tr>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Business email</w:t>
            </w:r>
          </w:p>
        </w:tc>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Ten independent staff and departmental inboxes</w:t>
            </w:r>
          </w:p>
        </w:tc>
        <w:tc>
          <w:tcPr>
            <w:tcW w:type="dxa" w:w="3312"/>
            <w:vAlign w:val="center"/>
            <w:tcMar>
              <w:top w:w="110" w:type="dxa"/>
              <w:start w:w="120" w:type="dxa"/>
              <w:bottom w:w="110" w:type="dxa"/>
              <w:end w:w="120" w:type="dxa"/>
            </w:tcMar>
          </w:tcPr>
          <w:p>
            <w:pPr>
              <w:spacing w:after="0" w:line="252" w:lineRule="auto"/>
            </w:pPr>
            <w:r/>
            <w:r>
              <w:rPr>
                <w:rFonts w:ascii="Arial" w:hAnsi="Arial"/>
                <w:b w:val="0"/>
                <w:color w:val="000000"/>
                <w:sz w:val="18"/>
              </w:rPr>
              <w:t>Namecheap Stellar</w:t>
            </w:r>
          </w:p>
        </w:tc>
      </w:tr>
      <w:tr>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Application hosting</w:t>
            </w:r>
          </w:p>
        </w:tc>
        <w:tc>
          <w:tcPr>
            <w:tcW w:type="dxa" w:w="46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Public website, reservation system, administration and front desk app</w:t>
            </w:r>
          </w:p>
        </w:tc>
        <w:tc>
          <w:tcPr>
            <w:tcW w:type="dxa" w:w="331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Firebase and Google Cloud</w:t>
            </w:r>
          </w:p>
        </w:tc>
      </w:tr>
      <w:tr>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Source control</w:t>
            </w:r>
          </w:p>
        </w:tc>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Private repository and deployment history</w:t>
            </w:r>
          </w:p>
        </w:tc>
        <w:tc>
          <w:tcPr>
            <w:tcW w:type="dxa" w:w="3312"/>
            <w:vAlign w:val="center"/>
            <w:tcMar>
              <w:top w:w="110" w:type="dxa"/>
              <w:start w:w="120" w:type="dxa"/>
              <w:bottom w:w="110" w:type="dxa"/>
              <w:end w:w="120" w:type="dxa"/>
            </w:tcMar>
          </w:tcPr>
          <w:p>
            <w:pPr>
              <w:spacing w:after="0" w:line="252" w:lineRule="auto"/>
            </w:pPr>
            <w:r/>
            <w:r>
              <w:rPr>
                <w:rFonts w:ascii="Arial" w:hAnsi="Arial"/>
                <w:b w:val="0"/>
                <w:color w:val="000000"/>
                <w:sz w:val="18"/>
              </w:rPr>
              <w:t>GitHub</w:t>
            </w:r>
          </w:p>
        </w:tc>
      </w:tr>
      <w:tr>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Online payments</w:t>
            </w:r>
          </w:p>
        </w:tc>
        <w:tc>
          <w:tcPr>
            <w:tcW w:type="dxa" w:w="46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Card or gateway payment and payment status callbacks</w:t>
            </w:r>
          </w:p>
        </w:tc>
        <w:tc>
          <w:tcPr>
            <w:tcW w:type="dxa" w:w="331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Approved Kina Bank or BSP service</w:t>
            </w:r>
          </w:p>
        </w:tc>
      </w:tr>
    </w:tbl>
    <w:p>
      <w:pPr>
        <w:spacing w:after="0"/>
      </w:pPr>
    </w:p>
    <w:p>
      <w:pPr>
        <w:pStyle w:val="Heading1"/>
      </w:pPr>
      <w:r>
        <w:t>3 How the services work together</w:t>
      </w:r>
    </w:p>
    <w:p>
      <w:r>
        <w:t>Google Cloud DNS will answer internet requests for wellnesslodge.com.pg. Website records will point visitors to Firebase. Mail records will send messages to Namecheap's mail servers. Namecheap's hosting name servers, dns1.namecheaphosting.com and dns2.namecheaphosting.com, will not be assigned to the domain.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403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Address or function</w:t>
            </w:r>
          </w:p>
        </w:tc>
        <w:tc>
          <w:tcPr>
            <w:tcW w:type="dxa" w:w="604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Destination</w:t>
            </w:r>
          </w:p>
        </w:tc>
      </w:tr>
      <w:tr>
        <w:tc>
          <w:tcPr>
            <w:tcW w:type="dxa" w:w="4032"/>
            <w:vAlign w:val="center"/>
            <w:tcMar>
              <w:top w:w="110" w:type="dxa"/>
              <w:start w:w="120" w:type="dxa"/>
              <w:bottom w:w="110" w:type="dxa"/>
              <w:end w:w="120" w:type="dxa"/>
            </w:tcMar>
          </w:tcPr>
          <w:p>
            <w:pPr>
              <w:spacing w:after="0" w:line="252" w:lineRule="auto"/>
            </w:pPr>
            <w:r/>
            <w:r>
              <w:rPr>
                <w:rFonts w:ascii="Arial" w:hAnsi="Arial"/>
                <w:b w:val="0"/>
                <w:color w:val="000000"/>
                <w:sz w:val="18"/>
              </w:rPr>
              <w:t>wellnesslodge.com.pg</w:t>
            </w:r>
          </w:p>
        </w:tc>
        <w:tc>
          <w:tcPr>
            <w:tcW w:type="dxa" w:w="6048"/>
            <w:vAlign w:val="center"/>
            <w:tcMar>
              <w:top w:w="110" w:type="dxa"/>
              <w:start w:w="120" w:type="dxa"/>
              <w:bottom w:w="110" w:type="dxa"/>
              <w:end w:w="120" w:type="dxa"/>
            </w:tcMar>
          </w:tcPr>
          <w:p>
            <w:pPr>
              <w:spacing w:after="0" w:line="252" w:lineRule="auto"/>
            </w:pPr>
            <w:r/>
            <w:r>
              <w:rPr>
                <w:rFonts w:ascii="Arial" w:hAnsi="Arial"/>
                <w:b w:val="0"/>
                <w:color w:val="000000"/>
                <w:sz w:val="18"/>
              </w:rPr>
              <w:t>Firebase public website</w:t>
            </w:r>
          </w:p>
        </w:tc>
      </w:tr>
      <w:tr>
        <w:tc>
          <w:tcPr>
            <w:tcW w:type="dxa" w:w="40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www.wellnesslodge.com.pg</w:t>
            </w:r>
          </w:p>
        </w:tc>
        <w:tc>
          <w:tcPr>
            <w:tcW w:type="dxa" w:w="60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Firebase public website</w:t>
            </w:r>
          </w:p>
        </w:tc>
      </w:tr>
      <w:tr>
        <w:tc>
          <w:tcPr>
            <w:tcW w:type="dxa" w:w="4032"/>
            <w:vAlign w:val="center"/>
            <w:tcMar>
              <w:top w:w="110" w:type="dxa"/>
              <w:start w:w="120" w:type="dxa"/>
              <w:bottom w:w="110" w:type="dxa"/>
              <w:end w:w="120" w:type="dxa"/>
            </w:tcMar>
          </w:tcPr>
          <w:p>
            <w:pPr>
              <w:spacing w:after="0" w:line="252" w:lineRule="auto"/>
            </w:pPr>
            <w:r/>
            <w:r>
              <w:rPr>
                <w:rFonts w:ascii="Arial" w:hAnsi="Arial"/>
                <w:b w:val="0"/>
                <w:color w:val="000000"/>
                <w:sz w:val="18"/>
              </w:rPr>
              <w:t>frontdesk.wellnesslodge.com.pg</w:t>
            </w:r>
          </w:p>
        </w:tc>
        <w:tc>
          <w:tcPr>
            <w:tcW w:type="dxa" w:w="6048"/>
            <w:vAlign w:val="center"/>
            <w:tcMar>
              <w:top w:w="110" w:type="dxa"/>
              <w:start w:w="120" w:type="dxa"/>
              <w:bottom w:w="110" w:type="dxa"/>
              <w:end w:w="120" w:type="dxa"/>
            </w:tcMar>
          </w:tcPr>
          <w:p>
            <w:pPr>
              <w:spacing w:after="0" w:line="252" w:lineRule="auto"/>
            </w:pPr>
            <w:r/>
            <w:r>
              <w:rPr>
                <w:rFonts w:ascii="Arial" w:hAnsi="Arial"/>
                <w:b w:val="0"/>
                <w:color w:val="000000"/>
                <w:sz w:val="18"/>
              </w:rPr>
              <w:t>Installable Firebase front desk application</w:t>
            </w:r>
          </w:p>
        </w:tc>
      </w:tr>
      <w:tr>
        <w:tc>
          <w:tcPr>
            <w:tcW w:type="dxa" w:w="40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admin.wellnesslodge.com.pg</w:t>
            </w:r>
          </w:p>
        </w:tc>
        <w:tc>
          <w:tcPr>
            <w:tcW w:type="dxa" w:w="604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Restricted administration portal</w:t>
            </w:r>
          </w:p>
        </w:tc>
      </w:tr>
      <w:tr>
        <w:tc>
          <w:tcPr>
            <w:tcW w:type="dxa" w:w="4032"/>
            <w:vAlign w:val="center"/>
            <w:tcMar>
              <w:top w:w="110" w:type="dxa"/>
              <w:start w:w="120" w:type="dxa"/>
              <w:bottom w:w="110" w:type="dxa"/>
              <w:end w:w="120" w:type="dxa"/>
            </w:tcMar>
          </w:tcPr>
          <w:p>
            <w:pPr>
              <w:spacing w:after="0" w:line="252" w:lineRule="auto"/>
            </w:pPr>
            <w:r/>
            <w:r>
              <w:rPr>
                <w:rFonts w:ascii="Arial" w:hAnsi="Arial"/>
                <w:b w:val="0"/>
                <w:color w:val="000000"/>
                <w:sz w:val="18"/>
              </w:rPr>
              <w:t>Email to @wellnesslodge.com.pg</w:t>
            </w:r>
          </w:p>
        </w:tc>
        <w:tc>
          <w:tcPr>
            <w:tcW w:type="dxa" w:w="6048"/>
            <w:vAlign w:val="center"/>
            <w:tcMar>
              <w:top w:w="110" w:type="dxa"/>
              <w:start w:w="120" w:type="dxa"/>
              <w:bottom w:w="110" w:type="dxa"/>
              <w:end w:w="120" w:type="dxa"/>
            </w:tcMar>
          </w:tcPr>
          <w:p>
            <w:pPr>
              <w:spacing w:after="0" w:line="252" w:lineRule="auto"/>
            </w:pPr>
            <w:r/>
            <w:r>
              <w:rPr>
                <w:rFonts w:ascii="Arial" w:hAnsi="Arial"/>
                <w:b w:val="0"/>
                <w:color w:val="000000"/>
                <w:sz w:val="18"/>
              </w:rPr>
              <w:t>Namecheap cPanel email service through records held in Google Cloud DNS</w:t>
            </w:r>
          </w:p>
        </w:tc>
      </w:tr>
    </w:tbl>
    <w:p>
      <w:pPr>
        <w:spacing w:after="0"/>
      </w:pPr>
    </w:p>
    <w:p>
      <w:r>
        <w:t>The website files will not be uploaded to cPanel. Stellar currently permits up to 30 email accounts, which is enough for the ten requested mailboxes. Namecheap's published shared cPanel email limit is 10 GB in total across the account, not 10 GB for each mailbox. Storage allocations and use should be reviewed as the mailboxes begin receiving attachments.</w:t>
      </w:r>
    </w:p>
    <w:p>
      <w:pPr>
        <w:pStyle w:val="Heading2"/>
      </w:pPr>
      <w:r>
        <w:t>3.1 Payment receipt protection</w:t>
      </w:r>
    </w:p>
    <w:p>
      <w:r>
        <w:t>Bank transfer receipts will be uploaded through the reservation website and stored against the booking in protected Firebase storage. This is the official submission method. The payments mailbox is a fallback for guests who cannot use the upload page. A full mailbox must not prevent the lodge from receiving payment evidence through the reservation system.</w:t>
      </w:r>
    </w:p>
    <w:p>
      <w:pPr>
        <w:pStyle w:val="BulletText"/>
      </w:pPr>
      <w:r>
        <w:t>•  The upload page will accept approved image and PDF formats within a set size limit.</w:t>
      </w:r>
    </w:p>
    <w:p>
      <w:pPr>
        <w:pStyle w:val="BulletText"/>
      </w:pPr>
      <w:r>
        <w:t>•  The system will acknowledge the upload and place the booking in the front desk payment-review queue.</w:t>
      </w:r>
    </w:p>
    <w:p>
      <w:pPr>
        <w:pStyle w:val="BulletText"/>
      </w:pPr>
      <w:r>
        <w:t>•  Front desk and accounts staff will receive the normal alert and can verify, reject or request another copy.</w:t>
      </w:r>
    </w:p>
    <w:p>
      <w:pPr>
        <w:pStyle w:val="BulletText"/>
      </w:pPr>
      <w:r>
        <w:t>•  The booking remains subject to the approved hold rule until staff confirms that funds reached the lodge bank account.</w:t>
      </w:r>
    </w:p>
    <w:p>
      <w:pPr>
        <w:pStyle w:val="BulletText"/>
      </w:pPr>
      <w:r>
        <w:t>•  The system will record the receipt, booking reference, upload time, review result and staff action.</w:t>
      </w:r>
    </w:p>
    <w:p>
      <w:pPr>
        <w:pStyle w:val="BulletText"/>
      </w:pPr>
      <w:r>
        <w:t>•  Mailbox usage will still be monitored, but email capacity will not control whether a guest can submit a receipt.</w:t>
      </w:r>
    </w:p>
    <w:p>
      <w:pPr>
        <w:pStyle w:val="Heading1"/>
      </w:pPr>
      <w:r>
        <w:t>4 Ten separate email mailboxes</w:t>
      </w:r>
    </w:p>
    <w:p>
      <w:r>
        <w:t>Each address below is intended to be a separate mailbox with its own sign-in, password and storage allocation. Additional addresses may be created as aliases only after management confirms where they should deliver messages.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381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Mailbox</w:t>
            </w:r>
          </w:p>
        </w:tc>
        <w:tc>
          <w:tcPr>
            <w:tcW w:type="dxa" w:w="403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Main use</w:t>
            </w:r>
          </w:p>
        </w:tc>
        <w:tc>
          <w:tcPr>
            <w:tcW w:type="dxa" w:w="223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Responsible role</w:t>
            </w:r>
          </w:p>
        </w:tc>
      </w:tr>
      <w:tr>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owner@wellnesslodge.com.pg</w:t>
            </w:r>
          </w:p>
        </w:tc>
        <w:tc>
          <w:tcPr>
            <w:tcW w:type="dxa" w:w="4032"/>
            <w:vAlign w:val="center"/>
            <w:tcMar>
              <w:top w:w="110" w:type="dxa"/>
              <w:start w:w="120" w:type="dxa"/>
              <w:bottom w:w="110" w:type="dxa"/>
              <w:end w:w="120" w:type="dxa"/>
            </w:tcMar>
          </w:tcPr>
          <w:p>
            <w:pPr>
              <w:spacing w:after="0" w:line="252" w:lineRule="auto"/>
            </w:pPr>
            <w:r/>
            <w:r>
              <w:rPr>
                <w:rFonts w:ascii="Arial" w:hAnsi="Arial"/>
                <w:b w:val="0"/>
                <w:color w:val="000000"/>
                <w:sz w:val="18"/>
              </w:rPr>
              <w:t>Owner correspondence and executive notices</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Owner</w:t>
            </w:r>
          </w:p>
        </w:tc>
      </w:tr>
      <w:tr>
        <w:tc>
          <w:tcPr>
            <w:tcW w:type="dxa" w:w="38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manager@wellnesslodge.com.pg</w:t>
            </w:r>
          </w:p>
        </w:tc>
        <w:tc>
          <w:tcPr>
            <w:tcW w:type="dxa" w:w="40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Daily management and approvals</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General Manager</w:t>
            </w:r>
          </w:p>
        </w:tc>
      </w:tr>
      <w:tr>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reservations@wellnesslodge.com.pg</w:t>
            </w:r>
          </w:p>
        </w:tc>
        <w:tc>
          <w:tcPr>
            <w:tcW w:type="dxa" w:w="4032"/>
            <w:vAlign w:val="center"/>
            <w:tcMar>
              <w:top w:w="110" w:type="dxa"/>
              <w:start w:w="120" w:type="dxa"/>
              <w:bottom w:w="110" w:type="dxa"/>
              <w:end w:w="120" w:type="dxa"/>
            </w:tcMar>
          </w:tcPr>
          <w:p>
            <w:pPr>
              <w:spacing w:after="0" w:line="252" w:lineRule="auto"/>
            </w:pPr>
            <w:r/>
            <w:r>
              <w:rPr>
                <w:rFonts w:ascii="Arial" w:hAnsi="Arial"/>
                <w:b w:val="0"/>
                <w:color w:val="000000"/>
                <w:sz w:val="18"/>
              </w:rPr>
              <w:t>Booking enquiries and guest correspondence</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Reservations Officer</w:t>
            </w:r>
          </w:p>
        </w:tc>
      </w:tr>
      <w:tr>
        <w:tc>
          <w:tcPr>
            <w:tcW w:type="dxa" w:w="38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frontdesk@wellnesslodge.com.pg</w:t>
            </w:r>
          </w:p>
        </w:tc>
        <w:tc>
          <w:tcPr>
            <w:tcW w:type="dxa" w:w="40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Reception and current guest matters</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Desk Supervisor</w:t>
            </w:r>
          </w:p>
        </w:tc>
      </w:tr>
      <w:tr>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accounts@wellnesslodge.com.pg</w:t>
            </w:r>
          </w:p>
        </w:tc>
        <w:tc>
          <w:tcPr>
            <w:tcW w:type="dxa" w:w="4032"/>
            <w:vAlign w:val="center"/>
            <w:tcMar>
              <w:top w:w="110" w:type="dxa"/>
              <w:start w:w="120" w:type="dxa"/>
              <w:bottom w:w="110" w:type="dxa"/>
              <w:end w:w="120" w:type="dxa"/>
            </w:tcMar>
          </w:tcPr>
          <w:p>
            <w:pPr>
              <w:spacing w:after="0" w:line="252" w:lineRule="auto"/>
            </w:pPr>
            <w:r/>
            <w:r>
              <w:rPr>
                <w:rFonts w:ascii="Arial" w:hAnsi="Arial"/>
                <w:b w:val="0"/>
                <w:color w:val="000000"/>
                <w:sz w:val="18"/>
              </w:rPr>
              <w:t>Invoices, suppliers and reconciliation</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Accounts Officer</w:t>
            </w:r>
          </w:p>
        </w:tc>
      </w:tr>
      <w:tr>
        <w:tc>
          <w:tcPr>
            <w:tcW w:type="dxa" w:w="38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payments@wellnesslodge.com.pg</w:t>
            </w:r>
          </w:p>
        </w:tc>
        <w:tc>
          <w:tcPr>
            <w:tcW w:type="dxa" w:w="40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Transfer receipts and payment follow-up</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Accounts or Payments Officer</w:t>
            </w:r>
          </w:p>
        </w:tc>
      </w:tr>
      <w:tr>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events@wellnesslodge.com.pg</w:t>
            </w:r>
          </w:p>
        </w:tc>
        <w:tc>
          <w:tcPr>
            <w:tcW w:type="dxa" w:w="4032"/>
            <w:vAlign w:val="center"/>
            <w:tcMar>
              <w:top w:w="110" w:type="dxa"/>
              <w:start w:w="120" w:type="dxa"/>
              <w:bottom w:w="110" w:type="dxa"/>
              <w:end w:w="120" w:type="dxa"/>
            </w:tcMar>
          </w:tcPr>
          <w:p>
            <w:pPr>
              <w:spacing w:after="0" w:line="252" w:lineRule="auto"/>
            </w:pPr>
            <w:r/>
            <w:r>
              <w:rPr>
                <w:rFonts w:ascii="Arial" w:hAnsi="Arial"/>
                <w:b w:val="0"/>
                <w:color w:val="000000"/>
                <w:sz w:val="18"/>
              </w:rPr>
              <w:t>Functions, catering and event enquiries</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Events Coordinator</w:t>
            </w:r>
          </w:p>
        </w:tc>
      </w:tr>
      <w:tr>
        <w:tc>
          <w:tcPr>
            <w:tcW w:type="dxa" w:w="38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restaurant@wellnesslodge.com.pg</w:t>
            </w:r>
          </w:p>
        </w:tc>
        <w:tc>
          <w:tcPr>
            <w:tcW w:type="dxa" w:w="40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Restaurant and cafe enquiries</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Restaurant Supervisor</w:t>
            </w:r>
          </w:p>
        </w:tc>
      </w:tr>
      <w:tr>
        <w:tc>
          <w:tcPr>
            <w:tcW w:type="dxa" w:w="3816"/>
            <w:vAlign w:val="center"/>
            <w:tcMar>
              <w:top w:w="110" w:type="dxa"/>
              <w:start w:w="120" w:type="dxa"/>
              <w:bottom w:w="110" w:type="dxa"/>
              <w:end w:w="120" w:type="dxa"/>
            </w:tcMar>
          </w:tcPr>
          <w:p>
            <w:pPr>
              <w:spacing w:after="0" w:line="252" w:lineRule="auto"/>
            </w:pPr>
            <w:r/>
            <w:r>
              <w:rPr>
                <w:rFonts w:ascii="Arial" w:hAnsi="Arial"/>
                <w:b w:val="0"/>
                <w:color w:val="000000"/>
                <w:sz w:val="18"/>
              </w:rPr>
              <w:t>carrental@wellnesslodge.com.pg</w:t>
            </w:r>
          </w:p>
        </w:tc>
        <w:tc>
          <w:tcPr>
            <w:tcW w:type="dxa" w:w="4032"/>
            <w:vAlign w:val="center"/>
            <w:tcMar>
              <w:top w:w="110" w:type="dxa"/>
              <w:start w:w="120" w:type="dxa"/>
              <w:bottom w:w="110" w:type="dxa"/>
              <w:end w:w="120" w:type="dxa"/>
            </w:tcMar>
          </w:tcPr>
          <w:p>
            <w:pPr>
              <w:spacing w:after="0" w:line="252" w:lineRule="auto"/>
            </w:pPr>
            <w:r/>
            <w:r>
              <w:rPr>
                <w:rFonts w:ascii="Arial" w:hAnsi="Arial"/>
                <w:b w:val="0"/>
                <w:color w:val="000000"/>
                <w:sz w:val="18"/>
              </w:rPr>
              <w:t>Vehicle bookings and customer enquiries</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Car Rental Coordinator</w:t>
            </w:r>
          </w:p>
        </w:tc>
      </w:tr>
      <w:tr>
        <w:tc>
          <w:tcPr>
            <w:tcW w:type="dxa" w:w="38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admin@wellnesslodge.com.pg</w:t>
            </w:r>
          </w:p>
        </w:tc>
        <w:tc>
          <w:tcPr>
            <w:tcW w:type="dxa" w:w="40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Domain, hosting and system administration</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Project and Systems Administrator</w:t>
            </w:r>
          </w:p>
        </w:tc>
      </w:tr>
    </w:tbl>
    <w:p>
      <w:pPr>
        <w:spacing w:after="0"/>
      </w:pPr>
    </w:p>
    <w:p>
      <w:r>
        <w:t>Possible aliases include info@, bookings@, functions@, catering@ and cafe@. An alias is an additional delivery address, not a separate inbox, and should not be counted among the ten required mailboxes.</w:t>
      </w:r>
    </w:p>
    <w:p>
      <w:pPr>
        <w:pStyle w:val="Heading1"/>
      </w:pPr>
      <w:r>
        <w:t>5 Provider options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trPr>
        <w:tc>
          <w:tcPr>
            <w:tcW w:type="dxa" w:w="180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Option</w:t>
            </w:r>
          </w:p>
        </w:tc>
        <w:tc>
          <w:tcPr>
            <w:tcW w:type="dxa" w:w="295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Published offer reviewed</w:t>
            </w:r>
          </w:p>
        </w:tc>
        <w:tc>
          <w:tcPr>
            <w:tcW w:type="dxa" w:w="252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Advantages</w:t>
            </w:r>
          </w:p>
        </w:tc>
        <w:tc>
          <w:tcPr>
            <w:tcW w:type="dxa" w:w="280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Points to confirm</w:t>
            </w:r>
          </w:p>
        </w:tc>
      </w:tr>
      <w:tr>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Namecheap Stellar</w:t>
            </w:r>
          </w:p>
        </w:tc>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20 GB SSD, cPanel and up to 30 email accounts. Current checkout figure supplied for this review is USD 57.72 per year. Shared cPanel email is limited to 10 GB total under the current policy.</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Low cost; sufficient mailbox count; online support.</w:t>
            </w:r>
          </w:p>
        </w:tc>
        <w:tc>
          <w:tcPr>
            <w:tcW w:type="dxa" w:w="2808"/>
            <w:vAlign w:val="center"/>
            <w:tcMar>
              <w:top w:w="110" w:type="dxa"/>
              <w:start w:w="120" w:type="dxa"/>
              <w:bottom w:w="110" w:type="dxa"/>
              <w:end w:w="120" w:type="dxa"/>
            </w:tcMar>
          </w:tcPr>
          <w:p>
            <w:pPr>
              <w:spacing w:after="0" w:line="252" w:lineRule="auto"/>
            </w:pPr>
            <w:r/>
            <w:r>
              <w:rPr>
                <w:rFonts w:ascii="Arial" w:hAnsi="Arial"/>
                <w:b w:val="0"/>
                <w:color w:val="000000"/>
                <w:sz w:val="18"/>
              </w:rPr>
              <w:t>Used for email only. Confirm addon-domain validation, current email storage policy, sending limits, renewal price and required mail records.</w:t>
            </w:r>
          </w:p>
        </w:tc>
      </w:tr>
      <w:tr>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Datec PNG 10 GB</w:t>
            </w:r>
          </w:p>
        </w:tc>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10 GB domain, email and website hosting. Published brochure lists K250 setup and K200 monthly, excluding GST and optional services.</w:t>
            </w:r>
          </w:p>
        </w:tc>
        <w:tc>
          <w:tcPr>
            <w:tcW w:type="dxa" w:w="252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Local support; familiar with PNGUoT procedures; kina billing.</w:t>
            </w:r>
          </w:p>
        </w:tc>
        <w:tc>
          <w:tcPr>
            <w:tcW w:type="dxa" w:w="280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Exact mailbox count; DNS-only and email price; whether static IP is compulsory; backup, filtering and total annual cost.</w:t>
            </w:r>
          </w:p>
        </w:tc>
      </w:tr>
      <w:tr>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Other PNG provider</w:t>
            </w:r>
          </w:p>
        </w:tc>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Quotation required from SysTek, Solitec, Ori Pacific or another established provider.</w:t>
            </w:r>
          </w:p>
        </w:tc>
        <w:tc>
          <w:tcPr>
            <w:tcW w:type="dxa" w:w="2520"/>
            <w:vAlign w:val="center"/>
            <w:tcMar>
              <w:top w:w="110" w:type="dxa"/>
              <w:start w:w="120" w:type="dxa"/>
              <w:bottom w:w="110" w:type="dxa"/>
              <w:end w:w="120" w:type="dxa"/>
            </w:tcMar>
          </w:tcPr>
          <w:p>
            <w:pPr>
              <w:spacing w:after="0" w:line="252" w:lineRule="auto"/>
            </w:pPr>
            <w:r/>
            <w:r>
              <w:rPr>
                <w:rFonts w:ascii="Arial" w:hAnsi="Arial"/>
                <w:b w:val="0"/>
                <w:color w:val="000000"/>
                <w:sz w:val="18"/>
              </w:rPr>
              <w:t>Local payment and support may be easier.</w:t>
            </w:r>
          </w:p>
        </w:tc>
        <w:tc>
          <w:tcPr>
            <w:tcW w:type="dxa" w:w="2808"/>
            <w:vAlign w:val="center"/>
            <w:tcMar>
              <w:top w:w="110" w:type="dxa"/>
              <w:start w:w="120" w:type="dxa"/>
              <w:bottom w:w="110" w:type="dxa"/>
              <w:end w:w="120" w:type="dxa"/>
            </w:tcMar>
          </w:tcPr>
          <w:p>
            <w:pPr>
              <w:spacing w:after="0" w:line="252" w:lineRule="auto"/>
            </w:pPr>
            <w:r/>
            <w:r>
              <w:rPr>
                <w:rFonts w:ascii="Arial" w:hAnsi="Arial"/>
                <w:b w:val="0"/>
                <w:color w:val="000000"/>
                <w:sz w:val="18"/>
              </w:rPr>
              <w:t>Confirm genuine cPanel, public authoritative DNS, ten independent inboxes, storage, backups, migration and full renewal cost.</w:t>
            </w:r>
          </w:p>
        </w:tc>
      </w:tr>
    </w:tbl>
    <w:p>
      <w:pPr>
        <w:spacing w:after="0"/>
      </w:pPr>
    </w:p>
    <w:p>
      <w:r>
        <w:t>Published prices are comparison figures only and may change. The accepted quotation, currency conversion, GST, setup charges, renewal price and optional security services must be recorded before approval.</w:t>
      </w:r>
    </w:p>
    <w:p>
      <w:pPr>
        <w:pStyle w:val="Heading1"/>
      </w:pPr>
      <w:r>
        <w:t>6 Approved technical sequence</w:t>
      </w:r>
    </w:p>
    <w:p>
      <w:pPr>
        <w:pStyle w:val="Checklist"/>
      </w:pPr>
      <w:r>
        <w:t>☐  Create a public managed zone for wellnesslodge.com.pg in Google Cloud DNS.</w:t>
      </w:r>
    </w:p>
    <w:p>
      <w:pPr>
        <w:pStyle w:val="Checklist"/>
      </w:pPr>
      <w:r>
        <w:t>☐  Copy the Google-assigned authoritative name servers and test the zone directly.</w:t>
      </w:r>
    </w:p>
    <w:p>
      <w:pPr>
        <w:pStyle w:val="Checklist"/>
      </w:pPr>
      <w:r>
        <w:t>☐  Enter the Google Cloud DNS name servers in the PNGUoT application.</w:t>
      </w:r>
    </w:p>
    <w:p>
      <w:pPr>
        <w:pStyle w:val="Checklist"/>
      </w:pPr>
      <w:r>
        <w:t>☐  After PNGUoT registers and delegates the domain, verify that public DNS queries reach Google Cloud DNS.</w:t>
      </w:r>
    </w:p>
    <w:p>
      <w:pPr>
        <w:pStyle w:val="Checklist"/>
      </w:pPr>
      <w:r>
        <w:t>☐  Connect wellnesslodge.com.pg and its website subdomains to Firebase using the records issued by Firebase.</w:t>
      </w:r>
    </w:p>
    <w:p>
      <w:pPr>
        <w:pStyle w:val="Checklist"/>
      </w:pPr>
      <w:r>
        <w:t>☐  Purchase or activate Namecheap Stellar and add wellnesslodge.com.pg using Namecheap's available ownership-validation procedure.</w:t>
      </w:r>
    </w:p>
    <w:p>
      <w:pPr>
        <w:pStyle w:val="Checklist"/>
      </w:pPr>
      <w:r>
        <w:t>☐  Create the ten cPanel mailboxes and copy Namecheap's MX, SPF, DKIM, DMARC and related mail records into Google Cloud DNS.</w:t>
      </w:r>
    </w:p>
    <w:p>
      <w:pPr>
        <w:pStyle w:val="Checklist"/>
      </w:pPr>
      <w:r>
        <w:t>☐  Test incoming mail, outgoing mail and domain authentication before giving staff access.</w:t>
      </w:r>
    </w:p>
    <w:p>
      <w:pPr>
        <w:pStyle w:val="Heading1"/>
      </w:pPr>
      <w:r>
        <w:t>7 Mandatory questions before payment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46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Question for the provider</w:t>
            </w:r>
          </w:p>
        </w:tc>
        <w:tc>
          <w:tcPr>
            <w:tcW w:type="dxa" w:w="309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Required answer</w:t>
            </w:r>
          </w:p>
        </w:tc>
        <w:tc>
          <w:tcPr>
            <w:tcW w:type="dxa" w:w="230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Provider response</w:t>
            </w:r>
          </w:p>
        </w:tc>
      </w:tr>
      <w:tr>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Can Stellar accept wellnesslodge.com.pg as an addon domain while Google Cloud DNS remains authoritative?</w:t>
            </w:r>
          </w:p>
        </w:tc>
        <w:tc>
          <w:tcPr>
            <w:tcW w:type="dxa" w:w="3096"/>
            <w:vAlign w:val="center"/>
            <w:tcMar>
              <w:top w:w="110" w:type="dxa"/>
              <w:start w:w="120" w:type="dxa"/>
              <w:bottom w:w="110" w:type="dxa"/>
              <w:end w:w="120" w:type="dxa"/>
            </w:tcMar>
          </w:tcPr>
          <w:p>
            <w:pPr>
              <w:spacing w:after="0" w:line="252" w:lineRule="auto"/>
            </w:pPr>
            <w:r/>
            <w:r>
              <w:rPr>
                <w:rFonts w:ascii="Arial" w:hAnsi="Arial"/>
                <w:b w:val="0"/>
                <w:color w:val="000000"/>
                <w:sz w:val="18"/>
              </w:rPr>
              <w:t>Yes, with validation method</w:t>
            </w:r>
          </w:p>
        </w:tc>
        <w:tc>
          <w:tcPr>
            <w:tcW w:type="dxa" w:w="2304"/>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Which MX and related records are required when DNS is hosted by Google?</w:t>
            </w:r>
          </w:p>
        </w:tc>
        <w:tc>
          <w:tcPr>
            <w:tcW w:type="dxa" w:w="30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Complete record list</w:t>
            </w:r>
          </w:p>
        </w:tc>
        <w:tc>
          <w:tcPr>
            <w:tcW w:type="dxa" w:w="230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Does the plan include at least ten independent mailboxes?</w:t>
            </w:r>
          </w:p>
        </w:tc>
        <w:tc>
          <w:tcPr>
            <w:tcW w:type="dxa" w:w="3096"/>
            <w:vAlign w:val="center"/>
            <w:tcMar>
              <w:top w:w="110" w:type="dxa"/>
              <w:start w:w="120" w:type="dxa"/>
              <w:bottom w:w="110" w:type="dxa"/>
              <w:end w:w="120" w:type="dxa"/>
            </w:tcMar>
          </w:tcPr>
          <w:p>
            <w:pPr>
              <w:spacing w:after="0" w:line="252" w:lineRule="auto"/>
            </w:pPr>
            <w:r/>
            <w:r>
              <w:rPr>
                <w:rFonts w:ascii="Arial" w:hAnsi="Arial"/>
                <w:b w:val="0"/>
                <w:color w:val="000000"/>
                <w:sz w:val="18"/>
              </w:rPr>
              <w:t>Yes</w:t>
            </w:r>
          </w:p>
        </w:tc>
        <w:tc>
          <w:tcPr>
            <w:tcW w:type="dxa" w:w="2304"/>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What is the total email storage and any limit per mailbox?</w:t>
            </w:r>
          </w:p>
        </w:tc>
        <w:tc>
          <w:tcPr>
            <w:tcW w:type="dxa" w:w="30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Written allocation and limits</w:t>
            </w:r>
          </w:p>
        </w:tc>
        <w:tc>
          <w:tcPr>
            <w:tcW w:type="dxa" w:w="230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Can the mail service operate without changing to Namecheap hosting name servers?</w:t>
            </w:r>
          </w:p>
        </w:tc>
        <w:tc>
          <w:tcPr>
            <w:tcW w:type="dxa" w:w="3096"/>
            <w:vAlign w:val="center"/>
            <w:tcMar>
              <w:top w:w="110" w:type="dxa"/>
              <w:start w:w="120" w:type="dxa"/>
              <w:bottom w:w="110" w:type="dxa"/>
              <w:end w:w="120" w:type="dxa"/>
            </w:tcMar>
          </w:tcPr>
          <w:p>
            <w:pPr>
              <w:spacing w:after="0" w:line="252" w:lineRule="auto"/>
            </w:pPr>
            <w:r/>
            <w:r>
              <w:rPr>
                <w:rFonts w:ascii="Arial" w:hAnsi="Arial"/>
                <w:b w:val="0"/>
                <w:color w:val="000000"/>
                <w:sz w:val="18"/>
              </w:rPr>
              <w:t>Yes</w:t>
            </w:r>
          </w:p>
        </w:tc>
        <w:tc>
          <w:tcPr>
            <w:tcW w:type="dxa" w:w="2304"/>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What SPF, DKIM and DMARC values must be added to Google Cloud DNS?</w:t>
            </w:r>
          </w:p>
        </w:tc>
        <w:tc>
          <w:tcPr>
            <w:tcW w:type="dxa" w:w="30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Exact values supplied</w:t>
            </w:r>
          </w:p>
        </w:tc>
        <w:tc>
          <w:tcPr>
            <w:tcW w:type="dxa" w:w="230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Are webmail, IMAP and SMTP protected by TLS?</w:t>
            </w:r>
          </w:p>
        </w:tc>
        <w:tc>
          <w:tcPr>
            <w:tcW w:type="dxa" w:w="3096"/>
            <w:vAlign w:val="center"/>
            <w:tcMar>
              <w:top w:w="110" w:type="dxa"/>
              <w:start w:w="120" w:type="dxa"/>
              <w:bottom w:w="110" w:type="dxa"/>
              <w:end w:w="120" w:type="dxa"/>
            </w:tcMar>
          </w:tcPr>
          <w:p>
            <w:pPr>
              <w:spacing w:after="0" w:line="252" w:lineRule="auto"/>
            </w:pPr>
            <w:r/>
            <w:r>
              <w:rPr>
                <w:rFonts w:ascii="Arial" w:hAnsi="Arial"/>
                <w:b w:val="0"/>
                <w:color w:val="000000"/>
                <w:sz w:val="18"/>
              </w:rPr>
              <w:t>Yes</w:t>
            </w:r>
          </w:p>
        </w:tc>
        <w:tc>
          <w:tcPr>
            <w:tcW w:type="dxa" w:w="2304"/>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What spam, virus filtering, backup and restore services are included?</w:t>
            </w:r>
          </w:p>
        </w:tc>
        <w:tc>
          <w:tcPr>
            <w:tcW w:type="dxa" w:w="30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Services and retention stated</w:t>
            </w:r>
          </w:p>
        </w:tc>
        <w:tc>
          <w:tcPr>
            <w:tcW w:type="dxa" w:w="230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What sending limits apply per mailbox and per domain?</w:t>
            </w:r>
          </w:p>
        </w:tc>
        <w:tc>
          <w:tcPr>
            <w:tcW w:type="dxa" w:w="3096"/>
            <w:vAlign w:val="center"/>
            <w:tcMar>
              <w:top w:w="110" w:type="dxa"/>
              <w:start w:w="120" w:type="dxa"/>
              <w:bottom w:w="110" w:type="dxa"/>
              <w:end w:w="120" w:type="dxa"/>
            </w:tcMar>
          </w:tcPr>
          <w:p>
            <w:pPr>
              <w:spacing w:after="0" w:line="252" w:lineRule="auto"/>
            </w:pPr>
            <w:r/>
            <w:r>
              <w:rPr>
                <w:rFonts w:ascii="Arial" w:hAnsi="Arial"/>
                <w:b w:val="0"/>
                <w:color w:val="000000"/>
                <w:sz w:val="18"/>
              </w:rPr>
              <w:t>Limits stated</w:t>
            </w:r>
          </w:p>
        </w:tc>
        <w:tc>
          <w:tcPr>
            <w:tcW w:type="dxa" w:w="2304"/>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What is the complete first-year and renewal cost including tax and extras?</w:t>
            </w:r>
          </w:p>
        </w:tc>
        <w:tc>
          <w:tcPr>
            <w:tcW w:type="dxa" w:w="30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Itemised quotation</w:t>
            </w:r>
          </w:p>
        </w:tc>
        <w:tc>
          <w:tcPr>
            <w:tcW w:type="dxa" w:w="230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Can all mail be exported if the lodge changes provider?</w:t>
            </w:r>
          </w:p>
        </w:tc>
        <w:tc>
          <w:tcPr>
            <w:tcW w:type="dxa" w:w="3096"/>
            <w:vAlign w:val="center"/>
            <w:tcMar>
              <w:top w:w="110" w:type="dxa"/>
              <w:start w:w="120" w:type="dxa"/>
              <w:bottom w:w="110" w:type="dxa"/>
              <w:end w:w="120" w:type="dxa"/>
            </w:tcMar>
          </w:tcPr>
          <w:p>
            <w:pPr>
              <w:spacing w:after="0" w:line="252" w:lineRule="auto"/>
            </w:pPr>
            <w:r/>
            <w:r>
              <w:rPr>
                <w:rFonts w:ascii="Arial" w:hAnsi="Arial"/>
                <w:b w:val="0"/>
                <w:color w:val="000000"/>
                <w:sz w:val="18"/>
              </w:rPr>
              <w:t>Yes, method stated</w:t>
            </w:r>
          </w:p>
        </w:tc>
        <w:tc>
          <w:tcPr>
            <w:tcW w:type="dxa" w:w="2304"/>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What support channels and response times apply?</w:t>
            </w:r>
          </w:p>
        </w:tc>
        <w:tc>
          <w:tcPr>
            <w:tcW w:type="dxa" w:w="309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Written support terms</w:t>
            </w:r>
          </w:p>
        </w:tc>
        <w:tc>
          <w:tcPr>
            <w:tcW w:type="dxa" w:w="230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Can mailbox storage usage and quotas be monitored in cPanel?</w:t>
            </w:r>
          </w:p>
        </w:tc>
        <w:tc>
          <w:tcPr>
            <w:tcW w:type="dxa" w:w="3096"/>
            <w:vAlign w:val="center"/>
            <w:tcMar>
              <w:top w:w="110" w:type="dxa"/>
              <w:start w:w="120" w:type="dxa"/>
              <w:bottom w:w="110" w:type="dxa"/>
              <w:end w:w="120" w:type="dxa"/>
            </w:tcMar>
          </w:tcPr>
          <w:p>
            <w:pPr>
              <w:spacing w:after="0" w:line="252" w:lineRule="auto"/>
            </w:pPr>
            <w:r/>
            <w:r>
              <w:rPr>
                <w:rFonts w:ascii="Arial" w:hAnsi="Arial"/>
                <w:b w:val="0"/>
                <w:color w:val="000000"/>
                <w:sz w:val="18"/>
              </w:rPr>
              <w:t>Yes, method stated</w:t>
            </w:r>
          </w:p>
        </w:tc>
        <w:tc>
          <w:tcPr>
            <w:tcW w:type="dxa" w:w="2304"/>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bl>
    <w:p>
      <w:pPr>
        <w:spacing w:after="0"/>
      </w:pPr>
    </w:p>
    <w:p>
      <w:pPr>
        <w:pStyle w:val="Heading1"/>
      </w:pPr>
      <w:r>
        <w:t>8 Responsibility schedule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367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Activity</w:t>
            </w:r>
          </w:p>
        </w:tc>
        <w:tc>
          <w:tcPr>
            <w:tcW w:type="dxa" w:w="302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Responsible person</w:t>
            </w:r>
          </w:p>
        </w:tc>
        <w:tc>
          <w:tcPr>
            <w:tcW w:type="dxa" w:w="338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Management input or approval</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Obtain and compare hosting quotations</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Project and Systems Administrator</w:t>
            </w:r>
          </w:p>
        </w:tc>
        <w:tc>
          <w:tcPr>
            <w:tcW w:type="dxa" w:w="3384"/>
            <w:vAlign w:val="center"/>
            <w:tcMar>
              <w:top w:w="110" w:type="dxa"/>
              <w:start w:w="120" w:type="dxa"/>
              <w:bottom w:w="110" w:type="dxa"/>
              <w:end w:w="120" w:type="dxa"/>
            </w:tcMar>
          </w:tcPr>
          <w:p>
            <w:pPr>
              <w:spacing w:after="0" w:line="252" w:lineRule="auto"/>
            </w:pPr>
            <w:r/>
            <w:r>
              <w:rPr>
                <w:rFonts w:ascii="Arial" w:hAnsi="Arial"/>
                <w:b w:val="0"/>
                <w:color w:val="000000"/>
                <w:sz w:val="18"/>
              </w:rPr>
              <w:t>Confirm budget and preferred provider</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Confirm the ten mailbox names and assigned staff</w:t>
            </w:r>
          </w:p>
        </w:tc>
        <w:tc>
          <w:tcPr>
            <w:tcW w:type="dxa" w:w="302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General Manager</w:t>
            </w:r>
          </w:p>
        </w:tc>
        <w:tc>
          <w:tcPr>
            <w:tcW w:type="dxa" w:w="338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Approve final list and access assignments</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Create the pre-delegation DNS zone</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Project and Systems Administrator</w:t>
            </w:r>
          </w:p>
        </w:tc>
        <w:tc>
          <w:tcPr>
            <w:tcW w:type="dxa" w:w="3384"/>
            <w:vAlign w:val="center"/>
            <w:tcMar>
              <w:top w:w="110" w:type="dxa"/>
              <w:start w:w="120" w:type="dxa"/>
              <w:bottom w:w="110" w:type="dxa"/>
              <w:end w:w="120" w:type="dxa"/>
            </w:tcMar>
          </w:tcPr>
          <w:p>
            <w:pPr>
              <w:spacing w:after="0" w:line="252" w:lineRule="auto"/>
            </w:pPr>
            <w:r/>
            <w:r>
              <w:rPr>
                <w:rFonts w:ascii="Arial" w:hAnsi="Arial"/>
                <w:b w:val="0"/>
                <w:color w:val="000000"/>
                <w:sz w:val="18"/>
              </w:rPr>
              <w:t>Approve Google Cloud billing</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Prepare and submit PNGUoT application</w:t>
            </w:r>
          </w:p>
        </w:tc>
        <w:tc>
          <w:tcPr>
            <w:tcW w:type="dxa" w:w="302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Project and Systems Administrator</w:t>
            </w:r>
          </w:p>
        </w:tc>
        <w:tc>
          <w:tcPr>
            <w:tcW w:type="dxa" w:w="338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Provide completed business documents, signature and payment</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Configure Firebase website records</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Developer or Systems Administrator</w:t>
            </w:r>
          </w:p>
        </w:tc>
        <w:tc>
          <w:tcPr>
            <w:tcW w:type="dxa" w:w="3384"/>
            <w:vAlign w:val="center"/>
            <w:tcMar>
              <w:top w:w="110" w:type="dxa"/>
              <w:start w:w="120" w:type="dxa"/>
              <w:bottom w:w="110" w:type="dxa"/>
              <w:end w:w="120" w:type="dxa"/>
            </w:tcMar>
          </w:tcPr>
          <w:p>
            <w:pPr>
              <w:spacing w:after="0" w:line="252" w:lineRule="auto"/>
            </w:pPr>
            <w:r/>
            <w:r>
              <w:rPr>
                <w:rFonts w:ascii="Arial" w:hAnsi="Arial"/>
                <w:b w:val="0"/>
                <w:color w:val="000000"/>
                <w:sz w:val="18"/>
              </w:rPr>
              <w:t>Approve production launch</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Add Namecheap email service and mail records</w:t>
            </w:r>
          </w:p>
        </w:tc>
        <w:tc>
          <w:tcPr>
            <w:tcW w:type="dxa" w:w="302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Systems Administrator</w:t>
            </w:r>
          </w:p>
        </w:tc>
        <w:tc>
          <w:tcPr>
            <w:tcW w:type="dxa" w:w="338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Nominate mailbox users</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Set mailbox storage, passwords and device access</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Systems Administrator with department heads</w:t>
            </w:r>
          </w:p>
        </w:tc>
        <w:tc>
          <w:tcPr>
            <w:tcW w:type="dxa" w:w="3384"/>
            <w:vAlign w:val="center"/>
            <w:tcMar>
              <w:top w:w="110" w:type="dxa"/>
              <w:start w:w="120" w:type="dxa"/>
              <w:bottom w:w="110" w:type="dxa"/>
              <w:end w:w="120" w:type="dxa"/>
            </w:tcMar>
          </w:tcPr>
          <w:p>
            <w:pPr>
              <w:spacing w:after="0" w:line="252" w:lineRule="auto"/>
            </w:pPr>
            <w:r/>
            <w:r>
              <w:rPr>
                <w:rFonts w:ascii="Arial" w:hAnsi="Arial"/>
                <w:b w:val="0"/>
                <w:color w:val="000000"/>
                <w:sz w:val="18"/>
              </w:rPr>
              <w:t>Staff attend setup and training</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Approve invoices and recurring renewals</w:t>
            </w:r>
          </w:p>
        </w:tc>
        <w:tc>
          <w:tcPr>
            <w:tcW w:type="dxa" w:w="302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Owner or authorised finance officer</w:t>
            </w:r>
          </w:p>
        </w:tc>
        <w:tc>
          <w:tcPr>
            <w:tcW w:type="dxa" w:w="338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Pay approved provider charges</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Monitor storage, delivery and renewals</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Systems Administrator</w:t>
            </w:r>
          </w:p>
        </w:tc>
        <w:tc>
          <w:tcPr>
            <w:tcW w:type="dxa" w:w="3384"/>
            <w:vAlign w:val="center"/>
            <w:tcMar>
              <w:top w:w="110" w:type="dxa"/>
              <w:start w:w="120" w:type="dxa"/>
              <w:bottom w:w="110" w:type="dxa"/>
              <w:end w:w="120" w:type="dxa"/>
            </w:tcMar>
          </w:tcPr>
          <w:p>
            <w:pPr>
              <w:spacing w:after="0" w:line="252" w:lineRule="auto"/>
            </w:pPr>
            <w:r/>
            <w:r>
              <w:rPr>
                <w:rFonts w:ascii="Arial" w:hAnsi="Arial"/>
                <w:b w:val="0"/>
                <w:color w:val="000000"/>
                <w:sz w:val="18"/>
              </w:rPr>
              <w:t>Department heads report email problems</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Monitor receipt uploads and failed submissions</w:t>
            </w:r>
          </w:p>
        </w:tc>
        <w:tc>
          <w:tcPr>
            <w:tcW w:type="dxa" w:w="302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Desk Supervisor and Systems Administrator</w:t>
            </w:r>
          </w:p>
        </w:tc>
        <w:tc>
          <w:tcPr>
            <w:tcW w:type="dxa" w:w="338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Accounts reports missing or unreadable evidence</w:t>
            </w:r>
          </w:p>
        </w:tc>
      </w:tr>
    </w:tbl>
    <w:p>
      <w:pPr>
        <w:spacing w:after="0"/>
      </w:pPr>
    </w:p>
    <w:p>
      <w:pPr>
        <w:pStyle w:val="Heading1"/>
      </w:pPr>
      <w:r>
        <w:t>9 Estimated service costs</w:t>
      </w:r>
    </w:p>
    <w:p>
      <w:pPr>
        <w:keepLines/>
      </w:pPr>
      <w:r>
        <w:t>The figures below are intended for budgeting and provider comparison. They exclude website development, ongoing technical support, bank gateway charges, SMS charges, GST where applicable and foreign card or currency conversion fees. USD amounts should be converted using the card issuer's rate on the payment date.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trPr>
        <w:tc>
          <w:tcPr>
            <w:tcW w:type="dxa" w:w="295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Service</w:t>
            </w:r>
          </w:p>
        </w:tc>
        <w:tc>
          <w:tcPr>
            <w:tcW w:type="dxa" w:w="223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Initial or published estimate</w:t>
            </w:r>
          </w:p>
        </w:tc>
        <w:tc>
          <w:tcPr>
            <w:tcW w:type="dxa" w:w="194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Frequency</w:t>
            </w:r>
          </w:p>
        </w:tc>
        <w:tc>
          <w:tcPr>
            <w:tcW w:type="dxa" w:w="295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Budget note</w:t>
            </w:r>
          </w:p>
        </w:tc>
      </w:tr>
      <w:tr>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PNGUoT com.pg registration</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K300</w:t>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First registration</w:t>
            </w:r>
          </w:p>
        </w:tc>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PNGUoT application form; confirm invoice before payment</w:t>
            </w:r>
          </w:p>
        </w:tc>
      </w:tr>
      <w:tr>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PNGUoT com.pg renewal</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K100</w:t>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Biennial</w:t>
            </w:r>
          </w:p>
        </w:tc>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Published renewal amount; subject to registry review</w:t>
            </w:r>
          </w:p>
        </w:tc>
      </w:tr>
      <w:tr>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Namecheap Stellar hosting</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USD 57.72</w:t>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Annual</w:t>
            </w:r>
          </w:p>
        </w:tc>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Figure supplied for the current plan review; verify checkout and renewal total</w:t>
            </w:r>
          </w:p>
        </w:tc>
      </w:tr>
      <w:tr>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Ten cPanel email mailboxes</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USD 0 additional</w:t>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Included with hosting</w:t>
            </w:r>
          </w:p>
        </w:tc>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Included only if the selected plan retains at least ten independent accounts</w:t>
            </w:r>
          </w:p>
        </w:tc>
      </w:tr>
      <w:tr>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Google Cloud DNS</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About USD 0.20 plus queries</w:t>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Monthly</w:t>
            </w:r>
          </w:p>
        </w:tc>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One managed zone; query charges are normally small at lodge traffic levels</w:t>
            </w:r>
          </w:p>
        </w:tc>
      </w:tr>
      <w:tr>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Firebase Blaze usage</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USD 0 to 25</w:t>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Monthly planning range</w:t>
            </w:r>
          </w:p>
        </w:tc>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Pay as used; low early traffic may remain within no-cost quotas</w:t>
            </w:r>
          </w:p>
        </w:tc>
      </w:tr>
      <w:tr>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Transactional booking email</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USD 0 to 15</w:t>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Monthly planning range</w:t>
            </w:r>
          </w:p>
        </w:tc>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Depends on provider and message volume</w:t>
            </w:r>
          </w:p>
        </w:tc>
      </w:tr>
      <w:tr>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GitHub private repository</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USD 0</w:t>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Monthly</w:t>
            </w:r>
          </w:p>
        </w:tc>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GitHub Free is expected to cover the initial repository and workflow</w:t>
            </w:r>
          </w:p>
        </w:tc>
      </w:tr>
      <w:tr>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SSL certificates</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USD 0</w:t>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Ongoing</w:t>
            </w:r>
          </w:p>
        </w:tc>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Firebase includes website SSL; confirm mail certificates with hosting provider</w:t>
            </w:r>
          </w:p>
        </w:tc>
      </w:tr>
      <w:tr>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Kina Bank or BSP gateway</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To be quoted</w:t>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Setup, recurring and transaction</w:t>
            </w:r>
          </w:p>
        </w:tc>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Bank approval and merchant pricing required</w:t>
            </w:r>
          </w:p>
        </w:tc>
      </w:tr>
    </w:tbl>
    <w:p>
      <w:pPr>
        <w:spacing w:after="0"/>
      </w:pPr>
    </w:p>
    <w:p>
      <w:pPr>
        <w:pStyle w:val="Heading2"/>
      </w:pPr>
      <w:r>
        <w:t>9.1 First year operating allowance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237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Scenario</w:t>
            </w:r>
          </w:p>
        </w:tc>
        <w:tc>
          <w:tcPr>
            <w:tcW w:type="dxa" w:w="295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First year estimate</w:t>
            </w:r>
          </w:p>
        </w:tc>
        <w:tc>
          <w:tcPr>
            <w:tcW w:type="dxa" w:w="475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What it assumes</w:t>
            </w:r>
          </w:p>
        </w:tc>
      </w:tr>
      <w:tr>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Minimum usage</w:t>
            </w:r>
          </w:p>
        </w:tc>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K300 plus about USD 60.12</w:t>
            </w:r>
          </w:p>
        </w:tc>
        <w:tc>
          <w:tcPr>
            <w:tcW w:type="dxa" w:w="4752"/>
            <w:vAlign w:val="center"/>
            <w:tcMar>
              <w:top w:w="110" w:type="dxa"/>
              <w:start w:w="120" w:type="dxa"/>
              <w:bottom w:w="110" w:type="dxa"/>
              <w:end w:w="120" w:type="dxa"/>
            </w:tcMar>
          </w:tcPr>
          <w:p>
            <w:pPr>
              <w:spacing w:after="0" w:line="252" w:lineRule="auto"/>
            </w:pPr>
            <w:r/>
            <w:r>
              <w:rPr>
                <w:rFonts w:ascii="Arial" w:hAnsi="Arial"/>
                <w:b w:val="0"/>
                <w:color w:val="000000"/>
                <w:sz w:val="18"/>
              </w:rPr>
              <w:t>Domain registration, Stellar and one Google Cloud DNS zone; Firebase and transactional email within no-cost allowances</w:t>
            </w:r>
          </w:p>
        </w:tc>
      </w:tr>
      <w:tr>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Normal starting allowance</w:t>
            </w:r>
          </w:p>
        </w:tc>
        <w:tc>
          <w:tcPr>
            <w:tcW w:type="dxa" w:w="29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K300 plus about USD 180.12 to 360.12</w:t>
            </w:r>
          </w:p>
        </w:tc>
        <w:tc>
          <w:tcPr>
            <w:tcW w:type="dxa" w:w="475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Stellar and DNS plus an average USD 10 to 25 per month for Firebase and transactional email</w:t>
            </w:r>
          </w:p>
        </w:tc>
      </w:tr>
      <w:tr>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Local Datec alternative</w:t>
            </w:r>
          </w:p>
        </w:tc>
        <w:tc>
          <w:tcPr>
            <w:tcW w:type="dxa" w:w="2952"/>
            <w:vAlign w:val="center"/>
            <w:tcMar>
              <w:top w:w="110" w:type="dxa"/>
              <w:start w:w="120" w:type="dxa"/>
              <w:bottom w:w="110" w:type="dxa"/>
              <w:end w:w="120" w:type="dxa"/>
            </w:tcMar>
          </w:tcPr>
          <w:p>
            <w:pPr>
              <w:spacing w:after="0" w:line="252" w:lineRule="auto"/>
            </w:pPr>
            <w:r/>
            <w:r>
              <w:rPr>
                <w:rFonts w:ascii="Arial" w:hAnsi="Arial"/>
                <w:b w:val="0"/>
                <w:color w:val="000000"/>
                <w:sz w:val="18"/>
              </w:rPr>
              <w:t>At least K2,650 in year one</w:t>
            </w:r>
          </w:p>
        </w:tc>
        <w:tc>
          <w:tcPr>
            <w:tcW w:type="dxa" w:w="4752"/>
            <w:vAlign w:val="center"/>
            <w:tcMar>
              <w:top w:w="110" w:type="dxa"/>
              <w:start w:w="120" w:type="dxa"/>
              <w:bottom w:w="110" w:type="dxa"/>
              <w:end w:w="120" w:type="dxa"/>
            </w:tcMar>
          </w:tcPr>
          <w:p>
            <w:pPr>
              <w:spacing w:after="0" w:line="252" w:lineRule="auto"/>
            </w:pPr>
            <w:r/>
            <w:r>
              <w:rPr>
                <w:rFonts w:ascii="Arial" w:hAnsi="Arial"/>
                <w:b w:val="0"/>
                <w:color w:val="000000"/>
                <w:sz w:val="18"/>
              </w:rPr>
              <w:t>K250 setup plus K200 monthly hosting, before static IP, mail protection, GST and other charges</w:t>
            </w:r>
          </w:p>
        </w:tc>
      </w:tr>
    </w:tbl>
    <w:p>
      <w:pPr>
        <w:spacing w:after="0"/>
      </w:pPr>
    </w:p>
    <w:p>
      <w:r>
        <w:t>For management budgeting, the normal starting allowance should be used until actual traffic and email volumes are known. The approved Firebase billing alert should be set below the management ceiling and reviewed monthly. A billing alert warns staff; it should not be treated as a guaranteed spending cap.</w:t>
      </w:r>
    </w:p>
    <w:p>
      <w:pPr>
        <w:pStyle w:val="Heading1"/>
      </w:pPr>
      <w:r>
        <w:t>10 Quotation and approval record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33"/>
        <w:gridCol w:w="2033"/>
        <w:gridCol w:w="2033"/>
        <w:gridCol w:w="2033"/>
        <w:gridCol w:w="2033"/>
      </w:tblGrid>
      <w:tr>
        <w:trPr>
          <w:tblHeader/>
        </w:trPr>
        <w:tc>
          <w:tcPr>
            <w:tcW w:type="dxa" w:w="28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Item</w:t>
            </w:r>
          </w:p>
        </w:tc>
        <w:tc>
          <w:tcPr>
            <w:tcW w:type="dxa" w:w="194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Quoted amount</w:t>
            </w:r>
          </w:p>
        </w:tc>
        <w:tc>
          <w:tcPr>
            <w:tcW w:type="dxa" w:w="180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Billing period</w:t>
            </w:r>
          </w:p>
        </w:tc>
        <w:tc>
          <w:tcPr>
            <w:tcW w:type="dxa" w:w="201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Approved by</w:t>
            </w:r>
          </w:p>
        </w:tc>
        <w:tc>
          <w:tcPr>
            <w:tcW w:type="dxa" w:w="144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Approval date</w:t>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PNGUoT registration</w:t>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01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440"/>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Google Cloud DNS</w:t>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0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44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Namecheap Stellar email hosting</w:t>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01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440"/>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Ten email mailboxes</w:t>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0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44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Spam and virus protection</w:t>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01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440"/>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Setup or migration fee</w:t>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0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44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Firebase and Google Cloud budget</w:t>
            </w:r>
          </w:p>
        </w:tc>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016"/>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440"/>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Other</w:t>
            </w:r>
          </w:p>
        </w:tc>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01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44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bl>
    <w:p>
      <w:pPr>
        <w:spacing w:after="0"/>
      </w:pPr>
    </w:p>
    <w:p>
      <w:pPr>
        <w:pStyle w:val="Heading1"/>
      </w:pPr>
      <w:r>
        <w:t>11 Management decision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83"/>
        <w:gridCol w:w="5083"/>
      </w:tblGrid>
      <w:tr>
        <w:trPr>
          <w:tblHeader/>
        </w:trPr>
        <w:tc>
          <w:tcPr>
            <w:tcW w:type="dxa" w:w="331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Decision</w:t>
            </w:r>
          </w:p>
        </w:tc>
        <w:tc>
          <w:tcPr>
            <w:tcW w:type="dxa" w:w="676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Selection or signature</w:t>
            </w:r>
          </w:p>
        </w:tc>
      </w:tr>
      <w:tr>
        <w:tc>
          <w:tcPr>
            <w:tcW w:type="dxa" w:w="3312"/>
            <w:vAlign w:val="center"/>
            <w:tcMar>
              <w:top w:w="110" w:type="dxa"/>
              <w:start w:w="120" w:type="dxa"/>
              <w:bottom w:w="110" w:type="dxa"/>
              <w:end w:w="120" w:type="dxa"/>
            </w:tcMar>
          </w:tcPr>
          <w:p>
            <w:pPr>
              <w:spacing w:after="0" w:line="252" w:lineRule="auto"/>
            </w:pPr>
            <w:r/>
            <w:r>
              <w:rPr>
                <w:rFonts w:ascii="Arial" w:hAnsi="Arial"/>
                <w:b w:val="0"/>
                <w:color w:val="000000"/>
                <w:sz w:val="18"/>
              </w:rPr>
              <w:t>Preferred provider</w:t>
            </w:r>
          </w:p>
        </w:tc>
        <w:tc>
          <w:tcPr>
            <w:tcW w:type="dxa" w:w="6768"/>
            <w:vAlign w:val="center"/>
            <w:tcMar>
              <w:top w:w="110" w:type="dxa"/>
              <w:start w:w="120" w:type="dxa"/>
              <w:bottom w:w="110" w:type="dxa"/>
              <w:end w:w="120" w:type="dxa"/>
            </w:tcMar>
          </w:tcPr>
          <w:p>
            <w:pPr>
              <w:spacing w:after="0" w:line="252" w:lineRule="auto"/>
            </w:pPr>
            <w:r/>
            <w:r>
              <w:rPr>
                <w:rFonts w:ascii="Arial" w:hAnsi="Arial"/>
                <w:b w:val="0"/>
                <w:color w:val="000000"/>
                <w:sz w:val="18"/>
              </w:rPr>
              <w:t>____________________________________________________________</w:t>
            </w:r>
          </w:p>
        </w:tc>
      </w:tr>
      <w:tr>
        <w:tc>
          <w:tcPr>
            <w:tcW w:type="dxa" w:w="331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Approved plan</w:t>
            </w:r>
          </w:p>
        </w:tc>
        <w:tc>
          <w:tcPr>
            <w:tcW w:type="dxa" w:w="676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____________________________________________________________</w:t>
            </w:r>
          </w:p>
        </w:tc>
      </w:tr>
      <w:tr>
        <w:tc>
          <w:tcPr>
            <w:tcW w:type="dxa" w:w="3312"/>
            <w:vAlign w:val="center"/>
            <w:tcMar>
              <w:top w:w="110" w:type="dxa"/>
              <w:start w:w="120" w:type="dxa"/>
              <w:bottom w:w="110" w:type="dxa"/>
              <w:end w:w="120" w:type="dxa"/>
            </w:tcMar>
          </w:tcPr>
          <w:p>
            <w:pPr>
              <w:spacing w:after="0" w:line="252" w:lineRule="auto"/>
            </w:pPr>
            <w:r/>
            <w:r>
              <w:rPr>
                <w:rFonts w:ascii="Arial" w:hAnsi="Arial"/>
                <w:b w:val="0"/>
                <w:color w:val="000000"/>
                <w:sz w:val="18"/>
              </w:rPr>
              <w:t>Approved first-year amount</w:t>
            </w:r>
          </w:p>
        </w:tc>
        <w:tc>
          <w:tcPr>
            <w:tcW w:type="dxa" w:w="6768"/>
            <w:vAlign w:val="center"/>
            <w:tcMar>
              <w:top w:w="110" w:type="dxa"/>
              <w:start w:w="120" w:type="dxa"/>
              <w:bottom w:w="110" w:type="dxa"/>
              <w:end w:w="120" w:type="dxa"/>
            </w:tcMar>
          </w:tcPr>
          <w:p>
            <w:pPr>
              <w:spacing w:after="0" w:line="252" w:lineRule="auto"/>
            </w:pPr>
            <w:r/>
            <w:r>
              <w:rPr>
                <w:rFonts w:ascii="Arial" w:hAnsi="Arial"/>
                <w:b w:val="0"/>
                <w:color w:val="000000"/>
                <w:sz w:val="18"/>
              </w:rPr>
              <w:t>____________________________________________________________</w:t>
            </w:r>
          </w:p>
        </w:tc>
      </w:tr>
      <w:tr>
        <w:tc>
          <w:tcPr>
            <w:tcW w:type="dxa" w:w="331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Approved renewal amount</w:t>
            </w:r>
          </w:p>
        </w:tc>
        <w:tc>
          <w:tcPr>
            <w:tcW w:type="dxa" w:w="676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____________________________________________________________</w:t>
            </w:r>
          </w:p>
        </w:tc>
      </w:tr>
      <w:tr>
        <w:tc>
          <w:tcPr>
            <w:tcW w:type="dxa" w:w="3312"/>
            <w:vAlign w:val="center"/>
            <w:tcMar>
              <w:top w:w="110" w:type="dxa"/>
              <w:start w:w="120" w:type="dxa"/>
              <w:bottom w:w="110" w:type="dxa"/>
              <w:end w:w="120" w:type="dxa"/>
            </w:tcMar>
          </w:tcPr>
          <w:p>
            <w:pPr>
              <w:spacing w:after="0" w:line="252" w:lineRule="auto"/>
            </w:pPr>
            <w:r/>
            <w:r>
              <w:rPr>
                <w:rFonts w:ascii="Arial" w:hAnsi="Arial"/>
                <w:b w:val="0"/>
                <w:color w:val="000000"/>
                <w:sz w:val="18"/>
              </w:rPr>
              <w:t>Approved by</w:t>
            </w:r>
          </w:p>
        </w:tc>
        <w:tc>
          <w:tcPr>
            <w:tcW w:type="dxa" w:w="6768"/>
            <w:vAlign w:val="center"/>
            <w:tcMar>
              <w:top w:w="110" w:type="dxa"/>
              <w:start w:w="120" w:type="dxa"/>
              <w:bottom w:w="110" w:type="dxa"/>
              <w:end w:w="120" w:type="dxa"/>
            </w:tcMar>
          </w:tcPr>
          <w:p>
            <w:pPr>
              <w:spacing w:after="0" w:line="252" w:lineRule="auto"/>
            </w:pPr>
            <w:r/>
            <w:r>
              <w:rPr>
                <w:rFonts w:ascii="Arial" w:hAnsi="Arial"/>
                <w:b w:val="0"/>
                <w:color w:val="000000"/>
                <w:sz w:val="18"/>
              </w:rPr>
              <w:t>____________________________________________________________</w:t>
            </w:r>
          </w:p>
        </w:tc>
      </w:tr>
      <w:tr>
        <w:tc>
          <w:tcPr>
            <w:tcW w:type="dxa" w:w="331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Signature and date</w:t>
            </w:r>
          </w:p>
        </w:tc>
        <w:tc>
          <w:tcPr>
            <w:tcW w:type="dxa" w:w="676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____________________________________________________________</w:t>
            </w:r>
          </w:p>
        </w:tc>
      </w:tr>
    </w:tbl>
    <w:p>
      <w:pPr>
        <w:spacing w:after="0"/>
      </w:pPr>
    </w:p>
    <w:p>
      <w:pPr>
        <w:pStyle w:val="Heading1"/>
      </w:pPr>
      <w:r>
        <w:t>12 Reference information</w:t>
      </w:r>
    </w:p>
    <w:p>
      <w:pPr>
        <w:pStyle w:val="BulletText"/>
        <w:spacing w:after="40" w:line="240" w:lineRule="auto"/>
      </w:pPr>
      <w:r>
        <w:rPr>
          <w:sz w:val="18"/>
        </w:rPr>
        <w:t>•  PNGUoT DNS application: https://www.pnguot.ac.pg/wp-content/uploads/2024/11/DNS_Application_2024_.pdf</w:t>
      </w:r>
    </w:p>
    <w:p>
      <w:pPr>
        <w:pStyle w:val="BulletText"/>
        <w:spacing w:after="40" w:line="240" w:lineRule="auto"/>
      </w:pPr>
      <w:r>
        <w:rPr>
          <w:sz w:val="18"/>
        </w:rPr>
        <w:t>•  cPanel purchase explanation and partner directory: https://support.cpanel.net/hc/en-us/articles/1500012296582-Purchase-Hosting-Services</w:t>
      </w:r>
    </w:p>
    <w:p>
      <w:pPr>
        <w:pStyle w:val="BulletText"/>
        <w:spacing w:after="40" w:line="240" w:lineRule="auto"/>
      </w:pPr>
      <w:r>
        <w:rPr>
          <w:sz w:val="18"/>
        </w:rPr>
        <w:t>•  Namecheap shared hosting comparison: https://www.namecheap.com/support/knowledgebase/article/10112/22/shared-hosting-plans-comparison/</w:t>
      </w:r>
    </w:p>
    <w:p>
      <w:pPr>
        <w:pStyle w:val="BulletText"/>
        <w:spacing w:after="40" w:line="240" w:lineRule="auto"/>
      </w:pPr>
      <w:r>
        <w:rPr>
          <w:sz w:val="18"/>
        </w:rPr>
        <w:t>•  Namecheap addon domain and hosting DNS guidance: https://www.namecheap.com/support/knowledgebase/article/897/29/how-to-create-an-addon-domain/</w:t>
      </w:r>
    </w:p>
    <w:p>
      <w:pPr>
        <w:pStyle w:val="BulletText"/>
        <w:spacing w:after="40" w:line="240" w:lineRule="auto"/>
      </w:pPr>
      <w:r>
        <w:rPr>
          <w:sz w:val="18"/>
        </w:rPr>
        <w:t>•  Datec PNG hosting brochure: https://datec.com.pg/storage/files/Brochures/ISP/ISP%20Broucher.pdf</w:t>
      </w:r>
    </w:p>
    <w:p>
      <w:pPr>
        <w:pStyle w:val="BulletText"/>
        <w:spacing w:after="40" w:line="240" w:lineRule="auto"/>
      </w:pPr>
      <w:r>
        <w:rPr>
          <w:sz w:val="18"/>
        </w:rPr>
        <w:t>•  Firebase billing plans: https://firebase.google.com/docs/projects/billing/firebase-pricing-plans</w:t>
      </w:r>
    </w:p>
    <w:p>
      <w:pPr>
        <w:pStyle w:val="BulletText"/>
        <w:spacing w:after="40" w:line="240" w:lineRule="auto"/>
      </w:pPr>
      <w:r>
        <w:rPr>
          <w:sz w:val="18"/>
        </w:rPr>
        <w:t>•  Google Cloud DNS pricing: https://cloud.google.com/dns/pricing</w:t>
      </w:r>
    </w:p>
    <w:p>
      <w:pPr>
        <w:pStyle w:val="BulletText"/>
        <w:spacing w:after="40" w:line="240" w:lineRule="auto"/>
      </w:pPr>
      <w:r>
        <w:rPr>
          <w:sz w:val="18"/>
        </w:rPr>
        <w:t>•  GitHub pricing: https://github.com/pricing</w:t>
      </w:r>
    </w:p>
    <w:sectPr>
      <w:headerReference r:id="rId10" w:type="default"/>
      <w:headerReference r:id="rId11" w:type="first"/>
      <w:footerReference r:id="rId12" w:type="default"/>
      <w:footerReference r:id="rId13" w:type="first"/>
      <w:pgSz w:h="15840" w:w="12240" w:orient="portrait"/>
      <w:pgMar w:bottom="936" w:top="979" w:left="1037" w:right="10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right"/>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color w:val="5E7890"/>
        <w:sz w:val="16"/>
      </w:rPr>
      <w:t xml:space="preserve">Domain DNS email and hosting procurement plan  |  </w:t>
    </w:r>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9" w:lineRule="auto"/>
    </w:pPr>
    <w:rPr>
      <w:rFonts w:ascii="Arial" w:hAnsi="Arial"/>
      <w:b w:val="0"/>
      <w:color w:val="222222"/>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Arial" w:hAnsi="Arial"/>
      <w:b/>
      <w:bCs w:val="1"/>
      <w:color w:val="000000"/>
      <w:sz w:val="32"/>
      <w:szCs w:val="27"/>
    </w:rPr>
  </w:style>
  <w:style w:type="paragraph" w:styleId="Heading2">
    <w:name w:val="heading 2"/>
    <w:basedOn w:val="Normal"/>
    <w:next w:val="Normal"/>
    <w:pPr>
      <w:keepNext/>
      <w:keepLines w:val="1"/>
      <w:spacing w:after="100" w:before="160" w:lineRule="auto"/>
    </w:pPr>
    <w:rPr>
      <w:rFonts w:ascii="Arial" w:cs="Calibri" w:eastAsia="Calibri" w:hAnsi="Arial"/>
      <w:b/>
      <w:bCs w:val="1"/>
      <w:smallCaps w:val="1"/>
      <w:color w:val="000000"/>
      <w:sz w:val="25"/>
      <w:szCs w:val="19"/>
    </w:rPr>
  </w:style>
  <w:style w:type="paragraph" w:styleId="Heading3">
    <w:name w:val="heading 3"/>
    <w:basedOn w:val="Normal"/>
    <w:next w:val="Normal"/>
    <w:pPr>
      <w:keepNext/>
      <w:keepLines w:val="1"/>
      <w:spacing w:before="160" w:after="100"/>
    </w:pPr>
    <w:rPr>
      <w:rFonts w:ascii="Arial" w:cs="Helvetica Neue" w:eastAsia="Helvetica Neue" w:hAnsi="Arial"/>
      <w:b/>
      <w:bCs w:val="1"/>
      <w:color w:val="000000"/>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Arial" w:hAnsi="Arial"/>
      <w:b/>
      <w:bCs w:val="1"/>
      <w:color w:val="12304A"/>
      <w:sz w:val="50"/>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Checklist">
    <w:name w:val="Checklist"/>
    <w:basedOn w:val="Normal"/>
    <w:pPr>
      <w:spacing w:after="80"/>
      <w:ind w:left="216" w:hanging="216"/>
    </w:pPr>
  </w:style>
  <w:style w:type="paragraph" w:customStyle="1" w:styleId="BulletText">
    <w:name w:val="Bullet Text"/>
    <w:basedOn w:val="Normal"/>
    <w:pPr>
      <w:spacing w:after="80"/>
      <w:ind w:left="346" w:hanging="259"/>
    </w:p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07 Domain DNS Email and Hosting Procurement Plan</dc:title>
  <cp:lastModifiedBy/>
  <cp:revision>1</cp:revision>
  <dcterms:modified xsi:type="dcterms:W3CDTF">2026-09-05T11:40:20Z</dcterms:modified>
  <dc:creator/>
</cp:coreProperties>
</file>