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 w:line="220"/>
      </w:pPr>
      <w:r>
        <w:rPr>
          <w:rFonts w:ascii="Aptos" w:cs="Aptos" w:eastAsia="Aptos" w:hAnsi="Aptos"/>
          <w:b/>
          <w:bCs/>
          <w:color w:val="315B4A"/>
          <w:sz w:val="24"/>
          <w:szCs w:val="24"/>
        </w:rPr>
        <w:t xml:space="preserve">4J INNOVATION LIMITED</w:t>
      </w:r>
    </w:p>
    <w:p>
      <w:pPr>
        <w:spacing w:after="18" w:before="0" w:line="220"/>
      </w:pPr>
      <w:r>
        <w:rPr>
          <w:rFonts w:ascii="Aptos" w:cs="Aptos" w:eastAsia="Aptos" w:hAnsi="Aptos"/>
          <w:b/>
          <w:bCs/>
          <w:color w:val="66756E"/>
          <w:sz w:val="14"/>
          <w:szCs w:val="14"/>
        </w:rPr>
        <w:t xml:space="preserve">Technology • Software • Digital Solutions</w:t>
      </w:r>
    </w:p>
    <w:p>
      <w:pPr>
        <w:spacing w:after="16" w:before="0" w:line="220"/>
      </w:pPr>
      <w:r>
        <w:rPr>
          <w:rFonts w:ascii="Aptos" w:cs="Aptos" w:eastAsia="Aptos" w:hAnsi="Aptos"/>
          <w:b/>
          <w:bCs/>
          <w:color w:val="24332C"/>
          <w:sz w:val="14"/>
          <w:szCs w:val="14"/>
        </w:rPr>
        <w:t xml:space="preserve">IPA Certificate No. 110964  |  Company No. 1-130338550  |  IRC TIN: ____________________</w:t>
      </w:r>
    </w:p>
    <w:p>
      <w:pPr>
        <w:spacing w:after="65" w:before="0" w:line="220"/>
      </w:pPr>
      <w:r>
        <w:rPr>
          <w:rFonts w:ascii="Aptos" w:cs="Aptos" w:eastAsia="Aptos" w:hAnsi="Aptos"/>
          <w:color w:val="66756E"/>
          <w:sz w:val="13"/>
          <w:szCs w:val="13"/>
        </w:rPr>
        <w:t xml:space="preserve">Section 64, Lot 128, Leander Street, East Boroko, Port Moresby, NCD 112, Papua New Guinea</w:t>
      </w:r>
    </w:p>
    <w:p>
      <w:pPr>
        <w:pBdr>
          <w:bottom w:val="single" w:color="C79A43" w:sz="14"/>
        </w:pBdr>
        <w:spacing w:after="20" w:before="0" w:line="220"/>
      </w:pPr>
      <w:r>
        <w:rPr>
          <w:rFonts w:ascii="Aptos" w:cs="Aptos" w:eastAsia="Aptos" w:hAnsi="Aptos"/>
          <w:b/>
          <w:bCs/>
          <w:color w:val="315B4A"/>
          <w:sz w:val="31"/>
          <w:szCs w:val="31"/>
        </w:rPr>
        <w:t xml:space="preserve">ATTACHMENT — DETAILED COSTING</w:t>
      </w:r>
    </w:p>
    <w:p>
      <w:pPr>
        <w:spacing w:after="80" w:before="0" w:line="220"/>
      </w:pPr>
      <w:r>
        <w:rPr>
          <w:rFonts w:ascii="Aptos" w:cs="Aptos" w:eastAsia="Aptos" w:hAnsi="Aptos"/>
          <w:b/>
          <w:bCs/>
          <w:color w:val="24332C"/>
          <w:sz w:val="20"/>
          <w:szCs w:val="20"/>
        </w:rPr>
        <w:t xml:space="preserve">Quotation QT-WL-2026-01 — Wellness Lodge</w:t>
      </w:r>
    </w:p>
    <w:p>
      <w:pPr>
        <w:keepNext/>
        <w:pBdr>
          <w:bottom w:val="single" w:color="C79A43" w:sz="7"/>
        </w:pBdr>
        <w:spacing w:after="55" w:before="125" w:line="220"/>
      </w:pPr>
      <w:r>
        <w:rPr>
          <w:rFonts w:ascii="Aptos" w:cs="Aptos" w:eastAsia="Aptos" w:hAnsi="Aptos"/>
          <w:b/>
          <w:bCs/>
          <w:color w:val="315B4A"/>
          <w:sz w:val="23"/>
          <w:szCs w:val="23"/>
        </w:rPr>
        <w:t xml:space="preserve">Phase 1 — Public Website</w:t>
      </w:r>
    </w:p>
    <w:tbl>
      <w:tblPr>
        <w:tblW w:type="dxa" w:w="8560"/>
        <w:tblBorders>
          <w:top w:val="single" w:color="BCC8C2" w:sz="4"/>
          <w:left w:val="single" w:color="BCC8C2" w:sz="4"/>
          <w:bottom w:val="single" w:color="BCC8C2" w:sz="4"/>
          <w:right w:val="single" w:color="BCC8C2" w:sz="4"/>
          <w:insideH w:val="single" w:color="D8DFDB" w:sz="3"/>
          <w:insideV w:val="single" w:color="D8DFDB" w:sz="3"/>
        </w:tblBorders>
      </w:tblPr>
      <w:tblGrid>
        <w:gridCol w:w="600"/>
        <w:gridCol w:w="6200"/>
        <w:gridCol w:w="1760"/>
      </w:tblGrid>
      <w:tr>
        <w:trPr>
          <w:tblHeader/>
        </w:trPr>
        <w:tc>
          <w:tcPr>
            <w:tcW w:type="dxa" w:w="60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Ref.</w:t>
            </w:r>
          </w:p>
        </w:tc>
        <w:tc>
          <w:tcPr>
            <w:tcW w:type="dxa" w:w="620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Cost item</w:t>
            </w:r>
          </w:p>
        </w:tc>
        <w:tc>
          <w:tcPr>
            <w:tcW w:type="dxa" w:w="176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6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1.1</w:t>
            </w:r>
          </w:p>
        </w:tc>
        <w:tc>
          <w:tcPr>
            <w:tcW w:type="dxa" w:w="62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Discovery, requirements workshop and sitemap</w:t>
            </w:r>
          </w:p>
        </w:tc>
        <w:tc>
          <w:tcPr>
            <w:tcW w:type="dxa" w:w="17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K720.00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1.2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UI/UX design — seven page templates, desktop and mobile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K1,920.00</w:t>
            </w:r>
          </w:p>
        </w:tc>
      </w:tr>
      <w:tr>
        <w:trPr>
          <w:cantSplit/>
        </w:trPr>
        <w:tc>
          <w:tcPr>
            <w:tcW w:type="dxa" w:w="6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1.3</w:t>
            </w:r>
          </w:p>
        </w:tc>
        <w:tc>
          <w:tcPr>
            <w:tcW w:type="dxa" w:w="62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Front-end build and responsive implementation</w:t>
            </w:r>
          </w:p>
        </w:tc>
        <w:tc>
          <w:tcPr>
            <w:tcW w:type="dxa" w:w="17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K3,080.00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1.4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Enquiry form, database capture, email and WhatsApp alerts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K880.00</w:t>
            </w:r>
          </w:p>
        </w:tc>
      </w:tr>
      <w:tr>
        <w:trPr>
          <w:cantSplit/>
        </w:trPr>
        <w:tc>
          <w:tcPr>
            <w:tcW w:type="dxa" w:w="6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1.5</w:t>
            </w:r>
          </w:p>
        </w:tc>
        <w:tc>
          <w:tcPr>
            <w:tcW w:type="dxa" w:w="62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Content loading, copy polish and image optimisation</w:t>
            </w:r>
          </w:p>
        </w:tc>
        <w:tc>
          <w:tcPr>
            <w:tcW w:type="dxa" w:w="17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K1,000.00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1.6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SEO foundation, analytics and Google Business Profile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K600.00</w:t>
            </w:r>
          </w:p>
        </w:tc>
      </w:tr>
      <w:tr>
        <w:trPr>
          <w:cantSplit/>
        </w:trPr>
        <w:tc>
          <w:tcPr>
            <w:tcW w:type="dxa" w:w="6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1.7</w:t>
            </w:r>
          </w:p>
        </w:tc>
        <w:tc>
          <w:tcPr>
            <w:tcW w:type="dxa" w:w="62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Testing, deployment, DNS and SSL</w:t>
            </w:r>
          </w:p>
        </w:tc>
        <w:tc>
          <w:tcPr>
            <w:tcW w:type="dxa" w:w="17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K500.00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1.8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Training session and handover pack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K300.00</w:t>
            </w:r>
          </w:p>
        </w:tc>
      </w:tr>
      <w:tr>
        <w:trPr>
          <w:cantSplit/>
        </w:trPr>
        <w:tc>
          <w:tcPr>
            <w:tcW w:type="dxa" w:w="6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1.9</w:t>
            </w:r>
          </w:p>
        </w:tc>
        <w:tc>
          <w:tcPr>
            <w:tcW w:type="dxa" w:w="62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Delivery management, launch assurance and infrastructure allowance</w:t>
            </w:r>
          </w:p>
        </w:tc>
        <w:tc>
          <w:tcPr>
            <w:tcW w:type="dxa" w:w="17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K3,000.00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24332C"/>
                <w:sz w:val="14"/>
                <w:szCs w:val="14"/>
              </w:rPr>
              <w:t xml:space="preserve"/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24332C"/>
                <w:sz w:val="14"/>
                <w:szCs w:val="14"/>
              </w:rPr>
              <w:t xml:space="preserve">PHASE 1 TOTAL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/>
                <w:bCs/>
                <w:color w:val="24332C"/>
                <w:sz w:val="14"/>
                <w:szCs w:val="14"/>
              </w:rPr>
              <w:t xml:space="preserve">K12,000.00</w:t>
            </w:r>
          </w:p>
        </w:tc>
      </w:tr>
    </w:tbl>
    <w:p>
      <w:r>
        <w:br w:type="page"/>
      </w:r>
    </w:p>
    <w:p>
      <w:pPr>
        <w:keepNext/>
        <w:pBdr>
          <w:bottom w:val="single" w:color="C79A43" w:sz="7"/>
        </w:pBdr>
        <w:spacing w:after="55" w:before="125" w:line="220"/>
      </w:pPr>
      <w:r>
        <w:rPr>
          <w:rFonts w:ascii="Aptos" w:cs="Aptos" w:eastAsia="Aptos" w:hAnsi="Aptos"/>
          <w:b/>
          <w:bCs/>
          <w:color w:val="315B4A"/>
          <w:sz w:val="23"/>
          <w:szCs w:val="23"/>
        </w:rPr>
        <w:t xml:space="preserve">Phase 2 — Reservation &amp; Booking System</w:t>
      </w:r>
    </w:p>
    <w:tbl>
      <w:tblPr>
        <w:tblW w:type="dxa" w:w="8560"/>
        <w:tblBorders>
          <w:top w:val="single" w:color="BCC8C2" w:sz="4"/>
          <w:left w:val="single" w:color="BCC8C2" w:sz="4"/>
          <w:bottom w:val="single" w:color="BCC8C2" w:sz="4"/>
          <w:right w:val="single" w:color="BCC8C2" w:sz="4"/>
          <w:insideH w:val="single" w:color="D8DFDB" w:sz="3"/>
          <w:insideV w:val="single" w:color="D8DFDB" w:sz="3"/>
        </w:tblBorders>
      </w:tblPr>
      <w:tblGrid>
        <w:gridCol w:w="600"/>
        <w:gridCol w:w="6200"/>
        <w:gridCol w:w="1760"/>
      </w:tblGrid>
      <w:tr>
        <w:trPr>
          <w:tblHeader/>
        </w:trPr>
        <w:tc>
          <w:tcPr>
            <w:tcW w:type="dxa" w:w="60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Ref.</w:t>
            </w:r>
          </w:p>
        </w:tc>
        <w:tc>
          <w:tcPr>
            <w:tcW w:type="dxa" w:w="620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Cost item</w:t>
            </w:r>
          </w:p>
        </w:tc>
        <w:tc>
          <w:tcPr>
            <w:tcW w:type="dxa" w:w="176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6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2.1</w:t>
            </w:r>
          </w:p>
        </w:tc>
        <w:tc>
          <w:tcPr>
            <w:tcW w:type="dxa" w:w="62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Data model — rooms, rates, availability, bookings, guests and payments</w:t>
            </w:r>
          </w:p>
        </w:tc>
        <w:tc>
          <w:tcPr>
            <w:tcW w:type="dxa" w:w="17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K720.00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2.2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Room-type and seasonal-rate management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K1,100.00</w:t>
            </w:r>
          </w:p>
        </w:tc>
      </w:tr>
      <w:tr>
        <w:trPr>
          <w:cantSplit/>
        </w:trPr>
        <w:tc>
          <w:tcPr>
            <w:tcW w:type="dxa" w:w="6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2.3</w:t>
            </w:r>
          </w:p>
        </w:tc>
        <w:tc>
          <w:tcPr>
            <w:tcW w:type="dxa" w:w="62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Availability calendar and real-time inventory locking</w:t>
            </w:r>
          </w:p>
        </w:tc>
        <w:tc>
          <w:tcPr>
            <w:tcW w:type="dxa" w:w="17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K2,420.00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2.4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Four-step guest booking flow and validation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K1,760.00</w:t>
            </w:r>
          </w:p>
        </w:tc>
      </w:tr>
      <w:tr>
        <w:trPr>
          <w:cantSplit/>
        </w:trPr>
        <w:tc>
          <w:tcPr>
            <w:tcW w:type="dxa" w:w="6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2.5</w:t>
            </w:r>
          </w:p>
        </w:tc>
        <w:tc>
          <w:tcPr>
            <w:tcW w:type="dxa" w:w="62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Provisional booking, reference, deadline and auto-release</w:t>
            </w:r>
          </w:p>
        </w:tc>
        <w:tc>
          <w:tcPr>
            <w:tcW w:type="dxa" w:w="17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K1,540.00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2.6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Proof-of-payment upload and secure file handling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K1,320.00</w:t>
            </w:r>
          </w:p>
        </w:tc>
      </w:tr>
      <w:tr>
        <w:trPr>
          <w:cantSplit/>
        </w:trPr>
        <w:tc>
          <w:tcPr>
            <w:tcW w:type="dxa" w:w="6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2.7</w:t>
            </w:r>
          </w:p>
        </w:tc>
        <w:tc>
          <w:tcPr>
            <w:tcW w:type="dxa" w:w="62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Payment confirmation queue and audit log</w:t>
            </w:r>
          </w:p>
        </w:tc>
        <w:tc>
          <w:tcPr>
            <w:tcW w:type="dxa" w:w="17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K1,540.00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2.8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Admin console, calendar, reservations and check-in/out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K2,420.00</w:t>
            </w:r>
          </w:p>
        </w:tc>
      </w:tr>
      <w:tr>
        <w:trPr>
          <w:cantSplit/>
        </w:trPr>
        <w:tc>
          <w:tcPr>
            <w:tcW w:type="dxa" w:w="6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2.9</w:t>
            </w:r>
          </w:p>
        </w:tc>
        <w:tc>
          <w:tcPr>
            <w:tcW w:type="dxa" w:w="62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Guest database, stay history and Excel export</w:t>
            </w:r>
          </w:p>
        </w:tc>
        <w:tc>
          <w:tcPr>
            <w:tcW w:type="dxa" w:w="17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K880.00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2.10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Automated booking, reminder, confirmation and expiry emails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K1,100.00</w:t>
            </w:r>
          </w:p>
        </w:tc>
      </w:tr>
      <w:tr>
        <w:trPr>
          <w:cantSplit/>
        </w:trPr>
        <w:tc>
          <w:tcPr>
            <w:tcW w:type="dxa" w:w="6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2.11</w:t>
            </w:r>
          </w:p>
        </w:tc>
        <w:tc>
          <w:tcPr>
            <w:tcW w:type="dxa" w:w="62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Edge-case, concurrency, expiry and upload testing</w:t>
            </w:r>
          </w:p>
        </w:tc>
        <w:tc>
          <w:tcPr>
            <w:tcW w:type="dxa" w:w="17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K1,400.00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2.12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Administrator training and operating SOP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K800.00</w:t>
            </w:r>
          </w:p>
        </w:tc>
      </w:tr>
      <w:tr>
        <w:trPr>
          <w:cantSplit/>
        </w:trPr>
        <w:tc>
          <w:tcPr>
            <w:tcW w:type="dxa" w:w="6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2.13</w:t>
            </w:r>
          </w:p>
        </w:tc>
        <w:tc>
          <w:tcPr>
            <w:tcW w:type="dxa" w:w="62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Reservation security, hardening and post-launch assurance</w:t>
            </w:r>
          </w:p>
        </w:tc>
        <w:tc>
          <w:tcPr>
            <w:tcW w:type="dxa" w:w="17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3"/>
                <w:szCs w:val="13"/>
              </w:rPr>
              <w:t xml:space="preserve">K5,000.00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24332C"/>
                <w:sz w:val="13"/>
                <w:szCs w:val="13"/>
              </w:rPr>
              <w:t xml:space="preserve"/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24332C"/>
                <w:sz w:val="13"/>
                <w:szCs w:val="13"/>
              </w:rPr>
              <w:t xml:space="preserve">PHASE 2 TOTAL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/>
                <w:bCs/>
                <w:color w:val="24332C"/>
                <w:sz w:val="13"/>
                <w:szCs w:val="13"/>
              </w:rPr>
              <w:t xml:space="preserve">K22,000.00</w:t>
            </w:r>
          </w:p>
        </w:tc>
      </w:tr>
    </w:tbl>
    <w:p>
      <w:pPr>
        <w:keepNext/>
        <w:pBdr>
          <w:bottom w:val="single" w:color="C79A43" w:sz="7"/>
        </w:pBdr>
        <w:spacing w:after="55" w:before="125" w:line="220"/>
      </w:pPr>
      <w:r>
        <w:rPr>
          <w:rFonts w:ascii="Aptos" w:cs="Aptos" w:eastAsia="Aptos" w:hAnsi="Aptos"/>
          <w:b/>
          <w:bCs/>
          <w:color w:val="315B4A"/>
          <w:sz w:val="23"/>
          <w:szCs w:val="23"/>
        </w:rPr>
        <w:t xml:space="preserve">Year 1 Included at No Charge</w:t>
      </w:r>
    </w:p>
    <w:tbl>
      <w:tblPr>
        <w:tblW w:type="dxa" w:w="8560"/>
        <w:tblBorders>
          <w:top w:val="single" w:color="BCC8C2" w:sz="4"/>
          <w:left w:val="single" w:color="BCC8C2" w:sz="4"/>
          <w:bottom w:val="single" w:color="BCC8C2" w:sz="4"/>
          <w:right w:val="single" w:color="BCC8C2" w:sz="4"/>
          <w:insideH w:val="single" w:color="D8DFDB" w:sz="3"/>
          <w:insideV w:val="single" w:color="D8DFDB" w:sz="3"/>
        </w:tblBorders>
      </w:tblPr>
      <w:tblGrid>
        <w:gridCol w:w="4700"/>
        <w:gridCol w:w="1500"/>
        <w:gridCol w:w="2360"/>
      </w:tblGrid>
      <w:tr>
        <w:trPr>
          <w:tblHeader/>
        </w:trPr>
        <w:tc>
          <w:tcPr>
            <w:tcW w:type="dxa" w:w="470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Item</w:t>
            </w:r>
          </w:p>
        </w:tc>
        <w:tc>
          <w:tcPr>
            <w:tcW w:type="dxa" w:w="150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Year 1 Charge</w:t>
            </w:r>
          </w:p>
        </w:tc>
        <w:tc>
          <w:tcPr>
            <w:tcW w:type="dxa" w:w="236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Billing From Year 2</w:t>
            </w:r>
          </w:p>
        </w:tc>
      </w:tr>
      <w:tr>
        <w:trPr>
          <w:cantSplit/>
        </w:trPr>
        <w:tc>
          <w:tcPr>
            <w:tcW w:type="dxa" w:w="47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color w:val="24332C"/>
                <w:sz w:val="14"/>
                <w:szCs w:val="14"/>
              </w:rPr>
              <w:t xml:space="preserve">wellness.com.pg domain registration</w:t>
            </w:r>
          </w:p>
        </w:tc>
        <w:tc>
          <w:tcPr>
            <w:tcW w:type="dxa" w:w="15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color w:val="24332C"/>
                <w:sz w:val="14"/>
                <w:szCs w:val="14"/>
              </w:rPr>
              <w:t xml:space="preserve">FREE</w:t>
            </w:r>
          </w:p>
        </w:tc>
        <w:tc>
          <w:tcPr>
            <w:tcW w:type="dxa" w:w="23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color w:val="24332C"/>
                <w:sz w:val="14"/>
                <w:szCs w:val="14"/>
              </w:rPr>
              <w:t xml:space="preserve">K100 every two years</w:t>
            </w:r>
          </w:p>
        </w:tc>
      </w:tr>
      <w:tr>
        <w:trPr>
          <w:cantSplit/>
        </w:trPr>
        <w:tc>
          <w:tcPr>
            <w:tcW w:type="dxa" w:w="47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color w:val="24332C"/>
                <w:sz w:val="14"/>
                <w:szCs w:val="14"/>
              </w:rPr>
              <w:t xml:space="preserve">10 GB cPanel hosting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color w:val="24332C"/>
                <w:sz w:val="14"/>
                <w:szCs w:val="14"/>
              </w:rPr>
              <w:t xml:space="preserve">FREE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color w:val="24332C"/>
                <w:sz w:val="14"/>
                <w:szCs w:val="14"/>
              </w:rPr>
              <w:t xml:space="preserve">K2,400.00 per year</w:t>
            </w:r>
          </w:p>
        </w:tc>
      </w:tr>
      <w:tr>
        <w:trPr>
          <w:cantSplit/>
        </w:trPr>
        <w:tc>
          <w:tcPr>
            <w:tcW w:type="dxa" w:w="47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color w:val="24332C"/>
                <w:sz w:val="14"/>
                <w:szCs w:val="14"/>
              </w:rPr>
              <w:t xml:space="preserve">10 named @wellness.com.pg email accounts</w:t>
            </w:r>
          </w:p>
        </w:tc>
        <w:tc>
          <w:tcPr>
            <w:tcW w:type="dxa" w:w="15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color w:val="24332C"/>
                <w:sz w:val="14"/>
                <w:szCs w:val="14"/>
              </w:rPr>
              <w:t xml:space="preserve">FREE</w:t>
            </w:r>
          </w:p>
        </w:tc>
        <w:tc>
          <w:tcPr>
            <w:tcW w:type="dxa" w:w="23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color w:val="24332C"/>
                <w:sz w:val="14"/>
                <w:szCs w:val="14"/>
              </w:rPr>
              <w:t xml:space="preserve">Included with hosting</w:t>
            </w:r>
          </w:p>
        </w:tc>
      </w:tr>
      <w:tr>
        <w:trPr>
          <w:cantSplit/>
        </w:trPr>
        <w:tc>
          <w:tcPr>
            <w:tcW w:type="dxa" w:w="47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color w:val="24332C"/>
                <w:sz w:val="14"/>
                <w:szCs w:val="14"/>
              </w:rPr>
              <w:t xml:space="preserve">Annual maintenance and support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color w:val="24332C"/>
                <w:sz w:val="14"/>
                <w:szCs w:val="14"/>
              </w:rPr>
              <w:t xml:space="preserve">FREE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color w:val="24332C"/>
                <w:sz w:val="14"/>
                <w:szCs w:val="14"/>
              </w:rPr>
              <w:t xml:space="preserve">K6,600.00 per year</w:t>
            </w:r>
          </w:p>
        </w:tc>
      </w:tr>
    </w:tbl>
    <w:p>
      <w:r>
        <w:br w:type="page"/>
      </w:r>
    </w:p>
    <w:p>
      <w:pPr>
        <w:keepNext/>
        <w:pBdr>
          <w:bottom w:val="single" w:color="C79A43" w:sz="7"/>
        </w:pBdr>
        <w:spacing w:after="55" w:before="125" w:line="220"/>
      </w:pPr>
      <w:r>
        <w:rPr>
          <w:rFonts w:ascii="Aptos" w:cs="Aptos" w:eastAsia="Aptos" w:hAnsi="Aptos"/>
          <w:b/>
          <w:bCs/>
          <w:color w:val="315B4A"/>
          <w:sz w:val="23"/>
          <w:szCs w:val="23"/>
        </w:rPr>
        <w:t xml:space="preserve">Milestone Payment Schedule</w:t>
      </w:r>
    </w:p>
    <w:tbl>
      <w:tblPr>
        <w:tblW w:type="dxa" w:w="8560"/>
        <w:tblBorders>
          <w:top w:val="single" w:color="BCC8C2" w:sz="4"/>
          <w:left w:val="single" w:color="BCC8C2" w:sz="4"/>
          <w:bottom w:val="single" w:color="BCC8C2" w:sz="4"/>
          <w:right w:val="single" w:color="BCC8C2" w:sz="4"/>
          <w:insideH w:val="single" w:color="D8DFDB" w:sz="3"/>
          <w:insideV w:val="single" w:color="D8DFDB" w:sz="3"/>
        </w:tblBorders>
      </w:tblPr>
      <w:tblGrid>
        <w:gridCol w:w="450"/>
        <w:gridCol w:w="4460"/>
        <w:gridCol w:w="1750"/>
        <w:gridCol w:w="1900"/>
      </w:tblGrid>
      <w:tr>
        <w:trPr>
          <w:tblHeader/>
        </w:trPr>
        <w:tc>
          <w:tcPr>
            <w:tcW w:type="dxa" w:w="45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446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Milestone</w:t>
            </w:r>
          </w:p>
        </w:tc>
        <w:tc>
          <w:tcPr>
            <w:tcW w:type="dxa" w:w="175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Amount</w:t>
            </w:r>
          </w:p>
        </w:tc>
        <w:tc>
          <w:tcPr>
            <w:tcW w:type="dxa" w:w="190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Cumulative</w:t>
            </w:r>
          </w:p>
        </w:tc>
      </w:tr>
      <w:tr>
        <w:trPr>
          <w:cantSplit/>
        </w:trPr>
        <w:tc>
          <w:tcPr>
            <w:tcW w:type="dxa" w:w="45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1</w:t>
            </w:r>
          </w:p>
        </w:tc>
        <w:tc>
          <w:tcPr>
            <w:tcW w:type="dxa" w:w="44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Signed acceptance — mobilisation</w:t>
            </w:r>
          </w:p>
        </w:tc>
        <w:tc>
          <w:tcPr>
            <w:tcW w:type="dxa" w:w="175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K3,400.00</w:t>
            </w:r>
          </w:p>
        </w:tc>
        <w:tc>
          <w:tcPr>
            <w:tcW w:type="dxa" w:w="19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K3,400.00</w:t>
            </w:r>
          </w:p>
        </w:tc>
      </w:tr>
      <w:tr>
        <w:trPr>
          <w:cantSplit/>
        </w:trPr>
        <w:tc>
          <w:tcPr>
            <w:tcW w:type="dxa" w:w="45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2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Design approved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K3,400.00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K6,800.00</w:t>
            </w:r>
          </w:p>
        </w:tc>
      </w:tr>
      <w:tr>
        <w:trPr>
          <w:cantSplit/>
        </w:trPr>
        <w:tc>
          <w:tcPr>
            <w:tcW w:type="dxa" w:w="45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3</w:t>
            </w:r>
          </w:p>
        </w:tc>
        <w:tc>
          <w:tcPr>
            <w:tcW w:type="dxa" w:w="44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Website live — Phase 1 complete</w:t>
            </w:r>
          </w:p>
        </w:tc>
        <w:tc>
          <w:tcPr>
            <w:tcW w:type="dxa" w:w="175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K5,200.00</w:t>
            </w:r>
          </w:p>
        </w:tc>
        <w:tc>
          <w:tcPr>
            <w:tcW w:type="dxa" w:w="19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K12,000.00</w:t>
            </w:r>
          </w:p>
        </w:tc>
      </w:tr>
      <w:tr>
        <w:trPr>
          <w:cantSplit/>
        </w:trPr>
        <w:tc>
          <w:tcPr>
            <w:tcW w:type="dxa" w:w="45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4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Phase 2 commencement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K6,500.00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K18,500.00</w:t>
            </w:r>
          </w:p>
        </w:tc>
      </w:tr>
      <w:tr>
        <w:trPr>
          <w:cantSplit/>
        </w:trPr>
        <w:tc>
          <w:tcPr>
            <w:tcW w:type="dxa" w:w="45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5</w:t>
            </w:r>
          </w:p>
        </w:tc>
        <w:tc>
          <w:tcPr>
            <w:tcW w:type="dxa" w:w="44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Booking system on staging — UAT</w:t>
            </w:r>
          </w:p>
        </w:tc>
        <w:tc>
          <w:tcPr>
            <w:tcW w:type="dxa" w:w="175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K6,500.00</w:t>
            </w:r>
          </w:p>
        </w:tc>
        <w:tc>
          <w:tcPr>
            <w:tcW w:type="dxa" w:w="19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K25,000.00</w:t>
            </w:r>
          </w:p>
        </w:tc>
      </w:tr>
      <w:tr>
        <w:trPr>
          <w:cantSplit/>
        </w:trPr>
        <w:tc>
          <w:tcPr>
            <w:tcW w:type="dxa" w:w="45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6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Full reservation system go-live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K6,500.00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K31,500.00</w:t>
            </w:r>
          </w:p>
        </w:tc>
      </w:tr>
      <w:tr>
        <w:trPr>
          <w:cantSplit/>
        </w:trPr>
        <w:tc>
          <w:tcPr>
            <w:tcW w:type="dxa" w:w="45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7</w:t>
            </w:r>
          </w:p>
        </w:tc>
        <w:tc>
          <w:tcPr>
            <w:tcW w:type="dxa" w:w="446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Closing report after adjustment period</w:t>
            </w:r>
          </w:p>
        </w:tc>
        <w:tc>
          <w:tcPr>
            <w:tcW w:type="dxa" w:w="175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K2,500.00</w:t>
            </w:r>
          </w:p>
        </w:tc>
        <w:tc>
          <w:tcPr>
            <w:tcW w:type="dxa" w:w="190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4"/>
                <w:szCs w:val="14"/>
              </w:rPr>
              <w:t xml:space="preserve">K34,000.00</w:t>
            </w:r>
          </w:p>
        </w:tc>
      </w:tr>
      <w:tr>
        <w:trPr>
          <w:cantSplit/>
        </w:trPr>
        <w:tc>
          <w:tcPr>
            <w:tcW w:type="dxa" w:w="45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24332C"/>
                <w:sz w:val="14"/>
                <w:szCs w:val="14"/>
              </w:rPr>
              <w:t xml:space="preserve"/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24332C"/>
                <w:sz w:val="14"/>
                <w:szCs w:val="14"/>
              </w:rPr>
              <w:t xml:space="preserve">TOTAL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/>
                <w:bCs/>
                <w:color w:val="24332C"/>
                <w:sz w:val="14"/>
                <w:szCs w:val="14"/>
              </w:rPr>
              <w:t xml:space="preserve">K34,000.00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/>
                <w:bCs/>
                <w:color w:val="24332C"/>
                <w:sz w:val="14"/>
                <w:szCs w:val="14"/>
              </w:rPr>
              <w:t xml:space="preserve">K34,000.00</w:t>
            </w:r>
          </w:p>
        </w:tc>
      </w:tr>
    </w:tbl>
    <w:p>
      <w:pPr>
        <w:keepNext/>
        <w:pBdr>
          <w:bottom w:val="single" w:color="C79A43" w:sz="7"/>
        </w:pBdr>
        <w:spacing w:after="55" w:before="125" w:line="220"/>
      </w:pPr>
      <w:r>
        <w:rPr>
          <w:rFonts w:ascii="Aptos" w:cs="Aptos" w:eastAsia="Aptos" w:hAnsi="Aptos"/>
          <w:b/>
          <w:bCs/>
          <w:color w:val="315B4A"/>
          <w:sz w:val="23"/>
          <w:szCs w:val="23"/>
        </w:rPr>
        <w:t xml:space="preserve">Cost Confirmation</w:t>
      </w:r>
    </w:p>
    <w:tbl>
      <w:tblPr>
        <w:tblW w:type="dxa" w:w="8560"/>
        <w:tblBorders>
          <w:top w:val="single" w:color="BCC8C2" w:sz="4"/>
          <w:left w:val="single" w:color="BCC8C2" w:sz="4"/>
          <w:bottom w:val="single" w:color="BCC8C2" w:sz="4"/>
          <w:right w:val="single" w:color="BCC8C2" w:sz="4"/>
          <w:insideH w:val="single" w:color="D8DFDB" w:sz="3"/>
          <w:insideV w:val="single" w:color="D8DFDB" w:sz="3"/>
        </w:tblBorders>
      </w:tblPr>
      <w:tblGrid>
        <w:gridCol w:w="6780"/>
        <w:gridCol w:w="1780"/>
      </w:tblGrid>
      <w:tr>
        <w:trPr>
          <w:tblHeader/>
        </w:trPr>
        <w:tc>
          <w:tcPr>
            <w:tcW w:type="dxa" w:w="678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1780"/>
            <w:shd w:fill="315B4A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/>
                <w:bCs/>
                <w:color w:val="FFFFFF"/>
                <w:sz w:val="14"/>
                <w:szCs w:val="14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678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5"/>
                <w:szCs w:val="15"/>
              </w:rPr>
              <w:t xml:space="preserve">Phase 1</w:t>
            </w:r>
          </w:p>
        </w:tc>
        <w:tc>
          <w:tcPr>
            <w:tcW w:type="dxa" w:w="178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5"/>
                <w:szCs w:val="15"/>
              </w:rPr>
              <w:t xml:space="preserve">K12,000.00</w:t>
            </w:r>
          </w:p>
        </w:tc>
      </w:tr>
      <w:tr>
        <w:trPr>
          <w:cantSplit/>
        </w:trPr>
        <w:tc>
          <w:tcPr>
            <w:tcW w:type="dxa" w:w="678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5"/>
                <w:szCs w:val="15"/>
              </w:rPr>
              <w:t xml:space="preserve">Phase 2</w:t>
            </w:r>
          </w:p>
        </w:tc>
        <w:tc>
          <w:tcPr>
            <w:tcW w:type="dxa" w:w="178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5"/>
                <w:szCs w:val="15"/>
              </w:rPr>
              <w:t xml:space="preserve">K22,000.00</w:t>
            </w:r>
          </w:p>
        </w:tc>
      </w:tr>
      <w:tr>
        <w:trPr>
          <w:cantSplit/>
        </w:trPr>
        <w:tc>
          <w:tcPr>
            <w:tcW w:type="dxa" w:w="678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5"/>
                <w:szCs w:val="15"/>
              </w:rPr>
              <w:t xml:space="preserve">Domain, hosting, 10 email accounts and maintenance — Year 1</w:t>
            </w:r>
          </w:p>
        </w:tc>
        <w:tc>
          <w:tcPr>
            <w:tcW w:type="dxa" w:w="1780"/>
            <w:shd w:fill="F3F5F4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24332C"/>
                <w:sz w:val="15"/>
                <w:szCs w:val="15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678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</w:pPr>
            <w:r>
              <w:rPr>
                <w:rFonts w:ascii="Aptos" w:cs="Aptos" w:eastAsia="Aptos" w:hAnsi="Aptos"/>
                <w:b/>
                <w:bCs/>
                <w:color w:val="24332C"/>
                <w:sz w:val="15"/>
                <w:szCs w:val="15"/>
              </w:rPr>
              <w:t xml:space="preserve">TOTAL PAYABLE — YEAR 1</w:t>
            </w:r>
          </w:p>
        </w:tc>
        <w:tc>
          <w:tcPr>
            <w:tcW w:type="dxa" w:w="1780"/>
            <w:shd w:fill="FFFFFF" w:color="auto" w:val="clear"/>
            <w:tcMar>
              <w:top w:type="dxa" w:w="60"/>
              <w:left w:type="dxa" w:w="75"/>
              <w:bottom w:type="dxa" w:w="60"/>
              <w:right w:type="dxa" w:w="75"/>
            </w:tcMar>
            <w:vAlign w:val="center"/>
          </w:tcPr>
          <w:p>
            <w:pPr>
              <w:spacing w:after="0" w:before="0" w:line="195"/>
              <w:jc w:val="right"/>
            </w:pPr>
            <w:r>
              <w:rPr>
                <w:rFonts w:ascii="Aptos" w:cs="Aptos" w:eastAsia="Aptos" w:hAnsi="Aptos"/>
                <w:b/>
                <w:bCs/>
                <w:color w:val="24332C"/>
                <w:sz w:val="15"/>
                <w:szCs w:val="15"/>
              </w:rPr>
              <w:t xml:space="preserve">K34,000.00</w:t>
            </w:r>
          </w:p>
        </w:tc>
      </w:tr>
    </w:tbl>
    <w:p>
      <w:pPr>
        <w:spacing w:after="60" w:before="90" w:line="220"/>
      </w:pPr>
      <w:r>
        <w:rPr>
          <w:rFonts w:ascii="Aptos" w:cs="Aptos" w:eastAsia="Aptos" w:hAnsi="Aptos"/>
          <w:b/>
          <w:bCs/>
          <w:color w:val="315B4A"/>
          <w:sz w:val="18"/>
          <w:szCs w:val="18"/>
        </w:rPr>
        <w:t xml:space="preserve">Year 1 total payable: K34,000.00</w:t>
      </w:r>
    </w:p>
    <w:sectPr>
      <w:headerReference w:type="default" r:id="rId7"/>
      <w:footerReference w:type="default" r:id="rId8"/>
      <w:pgSz w:w="11906" w:h="16838" w:orient="portrait"/>
      <w:pgMar w:top="520" w:right="670" w:bottom="500" w:left="6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66756E"/>
        <w:sz w:val="11"/>
        <w:szCs w:val="11"/>
      </w:rPr>
      <w:t xml:space="preserve">4J INNOVATION LIMITED  •  IPA 110964  •  Company 1-130338550  •  Page </w:t>
    </w:r>
    <w:r>
      <w:rPr>
        <w:rFonts w:ascii="Aptos" w:cs="Aptos" w:eastAsia="Aptos" w:hAnsi="Aptos"/>
        <w:color w:val="66756E"/>
        <w:sz w:val="11"/>
        <w:szCs w:val="1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20"/>
      <w:jc w:val="right"/>
    </w:pPr>
    <w:r>
      <w:rPr>
        <w:rFonts w:ascii="Aptos" w:cs="Aptos" w:eastAsia="Aptos" w:hAnsi="Aptos"/>
        <w:b/>
        <w:bCs/>
        <w:color w:val="315B4A"/>
        <w:sz w:val="12"/>
        <w:szCs w:val="12"/>
      </w:rPr>
      <w:t xml:space="preserve">QT-WL-2026-01  |  5 SEPTEMBER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433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2026-09-05T02:54:17.367Z</dcterms:created>
  <dcterms:modified xsi:type="dcterms:W3CDTF">2026-09-05T02:54:17.367Z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