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400"/>
      </w:pPr>
      <w:r>
        <w:rPr>
          <w:rFonts w:ascii="Arial" w:hAnsi="Arial"/>
          <w:color w:val="5E7890"/>
          <w:sz w:val="34"/>
        </w:rPr>
        <w:t>Payment gateway preparation</w:t>
      </w:r>
    </w:p>
    <w:p>
      <w:pPr>
        <w:pStyle w:val="Title"/>
      </w:pPr>
      <w:r>
        <w:t>Kina Bank and BSP merchant requirements</w:t>
      </w:r>
    </w:p>
    <w:p>
      <w:pPr>
        <w:spacing w:before="140" w:after="600"/>
      </w:pPr>
      <w:r>
        <w:rPr>
          <w:color w:val="445566"/>
          <w:sz w:val="23"/>
        </w:rPr>
        <w:t>Application and technical readiness checklist for the lodge's online reservation payments</w:t>
      </w:r>
    </w:p>
    <w:tbl>
      <w:tblPr>
        <w:tblW w:type="auto" w:w="0"/>
        <w:tblLayout w:type="fixed"/>
        <w:tblLook w:firstColumn="1" w:firstRow="1" w:lastColumn="0" w:lastRow="0" w:noHBand="0" w:noVBand="1" w:val="04A0"/>
      </w:tblPr>
      <w:tblGrid>
        <w:gridCol w:w="3024"/>
        <w:gridCol w:w="4032"/>
        <w:gridCol w:w="2880"/>
      </w:tblGrid>
      <w:tr>
        <w:trPr>
          <w:tblHeader/>
        </w:trPr>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STATUS</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PREPARED FOR</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DATE</w:t>
            </w:r>
          </w:p>
        </w:tc>
      </w:tr>
      <w:tr>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For bank confirmation</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Hotel or lodge management</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5 September 2026</w:t>
            </w:r>
          </w:p>
        </w:tc>
      </w:tr>
    </w:tbl>
    <w:p>
      <w:r>
        <w:br w:type="page"/>
      </w:r>
    </w:p>
    <w:p>
      <w:pPr>
        <w:pStyle w:val="Heading1"/>
      </w:pPr>
      <w:r>
        <w:t>1 Purpose</w:t>
      </w:r>
    </w:p>
    <w:p>
      <w:r>
        <w:t>This checklist prepares the lodge for discussions with Kina Bank and BSP. It separates requirements published by the banks from supporting material that businesses commonly need during merchant review and technical integration. The bank's current application form, approval decision, contract, fees and integration pack will control the final requirements.</w:t>
      </w:r>
    </w:p>
    <w:p>
      <w:pPr>
        <w:pStyle w:val="Heading1"/>
      </w:pPr>
      <w:r>
        <w:t>2 Responsibility and limits of service</w:t>
      </w:r>
    </w:p>
    <w:p>
      <w:r>
        <w:t>The Project Coordinator will obtain or prepare the application form, compile the material supplied by the client, lodge the application and follow up with the selected bank. Lodge management must supply genuine and current documents, approve the selected account and commercial terms, sign every declaration, pay all bank charges and answer due diligence questions. The developer will supply the website and integration details. The bank alone decides whether to approve the merchant, what fees apply and when production credentials may be issued.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295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Requirement</w:t>
            </w:r>
          </w:p>
        </w:tc>
        <w:tc>
          <w:tcPr>
            <w:tcW w:type="dxa" w:w="252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Responsible party</w:t>
            </w:r>
          </w:p>
        </w:tc>
        <w:tc>
          <w:tcPr>
            <w:tcW w:type="dxa" w:w="460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What must be completed</w:t>
            </w:r>
          </w:p>
        </w:tc>
      </w:tr>
      <w:tr>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Business registration and ownership records</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Lodge management</w:t>
            </w:r>
          </w:p>
        </w:tc>
        <w:tc>
          <w:tcPr>
            <w:tcW w:type="dxa" w:w="4608"/>
            <w:vAlign w:val="center"/>
            <w:tcMar>
              <w:top w:w="110" w:type="dxa"/>
              <w:start w:w="120" w:type="dxa"/>
              <w:bottom w:w="110" w:type="dxa"/>
              <w:end w:w="120" w:type="dxa"/>
            </w:tcMar>
          </w:tcPr>
          <w:p>
            <w:pPr>
              <w:spacing w:after="0" w:line="252" w:lineRule="auto"/>
            </w:pPr>
            <w:r/>
            <w:r>
              <w:rPr>
                <w:rFonts w:ascii="Arial" w:hAnsi="Arial"/>
                <w:b w:val="0"/>
                <w:color w:val="000000"/>
                <w:sz w:val="18"/>
              </w:rPr>
              <w:t>Provide current IPA and other records requested by the bank.</w:t>
            </w:r>
          </w:p>
        </w:tc>
      </w:tr>
      <w:tr>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Identity and signing authority</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Owner, Director or authorised signatory</w:t>
            </w:r>
          </w:p>
        </w:tc>
        <w:tc>
          <w:tcPr>
            <w:tcW w:type="dxa" w:w="46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Provide identification and authority documents; sign the application, offer and merchant terms.</w:t>
            </w:r>
          </w:p>
        </w:tc>
      </w:tr>
      <w:tr>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Settlement account and bank relationship</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Lodge management and Finance Manager</w:t>
            </w:r>
          </w:p>
        </w:tc>
        <w:tc>
          <w:tcPr>
            <w:tcW w:type="dxa" w:w="4608"/>
            <w:vAlign w:val="center"/>
            <w:tcMar>
              <w:top w:w="110" w:type="dxa"/>
              <w:start w:w="120" w:type="dxa"/>
              <w:bottom w:w="110" w:type="dxa"/>
              <w:end w:w="120" w:type="dxa"/>
            </w:tcMar>
          </w:tcPr>
          <w:p>
            <w:pPr>
              <w:spacing w:after="0" w:line="252" w:lineRule="auto"/>
            </w:pPr>
            <w:r/>
            <w:r>
              <w:rPr>
                <w:rFonts w:ascii="Arial" w:hAnsi="Arial"/>
                <w:b w:val="0"/>
                <w:color w:val="000000"/>
                <w:sz w:val="18"/>
              </w:rPr>
              <w:t>Open or nominate the account, confirm account details and accept settlement conditions.</w:t>
            </w:r>
          </w:p>
        </w:tc>
      </w:tr>
      <w:tr>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Application preparation and lodging</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Project Coordinator</w:t>
            </w:r>
          </w:p>
        </w:tc>
        <w:tc>
          <w:tcPr>
            <w:tcW w:type="dxa" w:w="46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Complete the application from client supplied information, arrange attachments, submit and follow up.</w:t>
            </w:r>
          </w:p>
        </w:tc>
      </w:tr>
      <w:tr>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Website, policies and technical details</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Developer, with management approval</w:t>
            </w:r>
          </w:p>
        </w:tc>
        <w:tc>
          <w:tcPr>
            <w:tcW w:type="dxa" w:w="4608"/>
            <w:vAlign w:val="center"/>
            <w:tcMar>
              <w:top w:w="110" w:type="dxa"/>
              <w:start w:w="120" w:type="dxa"/>
              <w:bottom w:w="110" w:type="dxa"/>
              <w:end w:w="120" w:type="dxa"/>
            </w:tcMar>
          </w:tcPr>
          <w:p>
            <w:pPr>
              <w:spacing w:after="0" w:line="252" w:lineRule="auto"/>
            </w:pPr>
            <w:r/>
            <w:r>
              <w:rPr>
                <w:rFonts w:ascii="Arial" w:hAnsi="Arial"/>
                <w:b w:val="0"/>
                <w:color w:val="000000"/>
                <w:sz w:val="18"/>
              </w:rPr>
              <w:t>Provide URL, hosting, SSL and integration details. Management approves refund, cancellation, privacy and customer service policies.</w:t>
            </w:r>
          </w:p>
        </w:tc>
      </w:tr>
      <w:tr>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Fees and transaction charges</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Lodge management</w:t>
            </w:r>
          </w:p>
        </w:tc>
        <w:tc>
          <w:tcPr>
            <w:tcW w:type="dxa" w:w="46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Review and accept the bank's written quotation and pay all charges when due.</w:t>
            </w:r>
          </w:p>
        </w:tc>
      </w:tr>
      <w:tr>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Assessment and production approval</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Kina Bank or BSP</w:t>
            </w:r>
          </w:p>
        </w:tc>
        <w:tc>
          <w:tcPr>
            <w:tcW w:type="dxa" w:w="4608"/>
            <w:vAlign w:val="center"/>
            <w:tcMar>
              <w:top w:w="110" w:type="dxa"/>
              <w:start w:w="120" w:type="dxa"/>
              <w:bottom w:w="110" w:type="dxa"/>
              <w:end w:w="120" w:type="dxa"/>
            </w:tcMar>
          </w:tcPr>
          <w:p>
            <w:pPr>
              <w:spacing w:after="0" w:line="252" w:lineRule="auto"/>
            </w:pPr>
            <w:r/>
            <w:r>
              <w:rPr>
                <w:rFonts w:ascii="Arial" w:hAnsi="Arial"/>
                <w:b w:val="0"/>
                <w:color w:val="000000"/>
                <w:sz w:val="18"/>
              </w:rPr>
              <w:t>Perform due diligence, request further information, approve or decline, and issue test or production access.</w:t>
            </w:r>
          </w:p>
        </w:tc>
      </w:tr>
      <w:tr>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Testing and launch</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Developer and Project Coordinator</w:t>
            </w:r>
          </w:p>
        </w:tc>
        <w:tc>
          <w:tcPr>
            <w:tcW w:type="dxa" w:w="46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Complete the bank's test cases and launch only after bank approval. Management completes acceptance testing.</w:t>
            </w:r>
          </w:p>
        </w:tc>
      </w:tr>
    </w:tbl>
    <w:p>
      <w:pPr>
        <w:spacing w:after="0"/>
      </w:pPr>
    </w:p>
    <w:p>
      <w:pPr>
        <w:pStyle w:val="Heading1"/>
      </w:pPr>
      <w:r>
        <w:t>3 Information to prepare for either bank</w:t>
      </w:r>
    </w:p>
    <w:p>
      <w:pPr>
        <w:pStyle w:val="Checklist"/>
      </w:pPr>
      <w:r>
        <w:t>☐  Registered company or business name and registration number.</w:t>
      </w:r>
    </w:p>
    <w:p>
      <w:pPr>
        <w:pStyle w:val="Checklist"/>
      </w:pPr>
      <w:r>
        <w:t>☐  Business structure and industry classification as hotel or accommodation.</w:t>
      </w:r>
    </w:p>
    <w:p>
      <w:pPr>
        <w:pStyle w:val="Checklist"/>
      </w:pPr>
      <w:r>
        <w:t>☐  Postal address, principal place of business and main contact details.</w:t>
      </w:r>
    </w:p>
    <w:p>
      <w:pPr>
        <w:pStyle w:val="Checklist"/>
      </w:pPr>
      <w:r>
        <w:t>☐  Authorised signatories and proof that they may bind the business.</w:t>
      </w:r>
    </w:p>
    <w:p>
      <w:pPr>
        <w:pStyle w:val="Checklist"/>
      </w:pPr>
      <w:r>
        <w:t>☐  Nominated settlement account name, number, BSB and branch.</w:t>
      </w:r>
    </w:p>
    <w:p>
      <w:pPr>
        <w:pStyle w:val="Checklist"/>
      </w:pPr>
      <w:r>
        <w:t>☐  Expected monthly transaction count, monthly value, average booking value and highest expected booking value.</w:t>
      </w:r>
    </w:p>
    <w:p>
      <w:pPr>
        <w:pStyle w:val="Checklist"/>
      </w:pPr>
      <w:r>
        <w:t>☐  Website address, hosting arrangement, content management system and technical contact.</w:t>
      </w:r>
    </w:p>
    <w:p>
      <w:pPr>
        <w:pStyle w:val="Checklist"/>
      </w:pPr>
      <w:r>
        <w:t>☐  Description of rooms and services sold, deposit policy, cancellation terms, refund process and customer support contacts.</w:t>
      </w:r>
    </w:p>
    <w:p>
      <w:pPr>
        <w:pStyle w:val="Checklist"/>
      </w:pPr>
      <w:r>
        <w:t>☐  Proof of identity and business records requested by the bank for customer due diligence.</w:t>
      </w:r>
    </w:p>
    <w:p>
      <w:pPr>
        <w:pStyle w:val="Checklist"/>
      </w:pPr>
      <w:r>
        <w:t>☐  Developer contact for the test environment, payment callback and production launch.</w:t>
      </w:r>
    </w:p>
    <w:p>
      <w:pPr>
        <w:pStyle w:val="Heading1"/>
      </w:pPr>
      <w:r>
        <w:t>4 Kina Bank Internet Payment Gateway</w:t>
      </w:r>
    </w:p>
    <w:p>
      <w:r>
        <w:t>Kina Bank states that an applicant must be a new or existing Kina Bank SME, Business or Corporate customer. The business completes a Payment Portal application form at a branch. The branch verifies the form and forwards it to the Digital Hub. Credentials and completion advice are issued after processing.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381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Published step or requirement</w:t>
            </w:r>
          </w:p>
        </w:tc>
        <w:tc>
          <w:tcPr>
            <w:tcW w:type="dxa" w:w="626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Action for the lodge</w:t>
            </w:r>
          </w:p>
        </w:tc>
      </w:tr>
      <w:tr>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Hold or open an eligible Kina Bank business relationship</w:t>
            </w:r>
          </w:p>
        </w:tc>
        <w:tc>
          <w:tcPr>
            <w:tcW w:type="dxa" w:w="6264"/>
            <w:vAlign w:val="center"/>
            <w:tcMar>
              <w:top w:w="110" w:type="dxa"/>
              <w:start w:w="120" w:type="dxa"/>
              <w:bottom w:w="110" w:type="dxa"/>
              <w:end w:w="120" w:type="dxa"/>
            </w:tcMar>
          </w:tcPr>
          <w:p>
            <w:pPr>
              <w:spacing w:after="0" w:line="252" w:lineRule="auto"/>
            </w:pPr>
            <w:r/>
            <w:r>
              <w:rPr>
                <w:rFonts w:ascii="Arial" w:hAnsi="Arial"/>
                <w:b w:val="0"/>
                <w:color w:val="000000"/>
                <w:sz w:val="18"/>
              </w:rPr>
              <w:t>Confirm the settlement account and customer category with the branch.</w:t>
            </w:r>
          </w:p>
        </w:tc>
      </w:tr>
      <w:tr>
        <w:tc>
          <w:tcPr>
            <w:tcW w:type="dxa" w:w="38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Complete the Payment Portal application form</w:t>
            </w:r>
          </w:p>
        </w:tc>
        <w:tc>
          <w:tcPr>
            <w:tcW w:type="dxa" w:w="626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Obtain the latest form from a Kina Bank branch and complete all required fields.</w:t>
            </w:r>
          </w:p>
        </w:tc>
      </w:tr>
      <w:tr>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Branch verification</w:t>
            </w:r>
          </w:p>
        </w:tc>
        <w:tc>
          <w:tcPr>
            <w:tcW w:type="dxa" w:w="6264"/>
            <w:vAlign w:val="center"/>
            <w:tcMar>
              <w:top w:w="110" w:type="dxa"/>
              <w:start w:w="120" w:type="dxa"/>
              <w:bottom w:w="110" w:type="dxa"/>
              <w:end w:w="120" w:type="dxa"/>
            </w:tcMar>
          </w:tcPr>
          <w:p>
            <w:pPr>
              <w:spacing w:after="0" w:line="252" w:lineRule="auto"/>
            </w:pPr>
            <w:r/>
            <w:r>
              <w:rPr>
                <w:rFonts w:ascii="Arial" w:hAnsi="Arial"/>
                <w:b w:val="0"/>
                <w:color w:val="000000"/>
                <w:sz w:val="18"/>
              </w:rPr>
              <w:t>Bring the requested identity, authority and business documents.</w:t>
            </w:r>
          </w:p>
        </w:tc>
      </w:tr>
      <w:tr>
        <w:tc>
          <w:tcPr>
            <w:tcW w:type="dxa" w:w="38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Digital Hub processing</w:t>
            </w:r>
          </w:p>
        </w:tc>
        <w:tc>
          <w:tcPr>
            <w:tcW w:type="dxa" w:w="626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Nominate an email address that the lodge monitors and protect the credentials when issued.</w:t>
            </w:r>
          </w:p>
        </w:tc>
      </w:tr>
      <w:tr>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Branch confirms readiness</w:t>
            </w:r>
          </w:p>
        </w:tc>
        <w:tc>
          <w:tcPr>
            <w:tcW w:type="dxa" w:w="6264"/>
            <w:vAlign w:val="center"/>
            <w:tcMar>
              <w:top w:w="110" w:type="dxa"/>
              <w:start w:w="120" w:type="dxa"/>
              <w:bottom w:w="110" w:type="dxa"/>
              <w:end w:w="120" w:type="dxa"/>
            </w:tcMar>
          </w:tcPr>
          <w:p>
            <w:pPr>
              <w:spacing w:after="0" w:line="252" w:lineRule="auto"/>
            </w:pPr>
            <w:r/>
            <w:r>
              <w:rPr>
                <w:rFonts w:ascii="Arial" w:hAnsi="Arial"/>
                <w:b w:val="0"/>
                <w:color w:val="000000"/>
                <w:sz w:val="18"/>
              </w:rPr>
              <w:t>Do not launch payments until the bank confirms production access and the developer completes live testing.</w:t>
            </w:r>
          </w:p>
        </w:tc>
      </w:tr>
    </w:tbl>
    <w:p>
      <w:pPr>
        <w:spacing w:after="0"/>
      </w:pPr>
    </w:p>
    <w:p>
      <w:pPr>
        <w:pStyle w:val="Heading2"/>
      </w:pPr>
      <w:r>
        <w:t>Kina Bank questions to ask</w:t>
      </w:r>
    </w:p>
    <w:p>
      <w:pPr>
        <w:pStyle w:val="Checklist"/>
      </w:pPr>
      <w:r>
        <w:t>☐  Which cards, PNG bank cards and currencies are supported for this merchant category?</w:t>
      </w:r>
    </w:p>
    <w:p>
      <w:pPr>
        <w:pStyle w:val="Checklist"/>
      </w:pPr>
      <w:r>
        <w:t>☐  What setup, transaction, monthly, refund and chargeback fees apply?</w:t>
      </w:r>
    </w:p>
    <w:p>
      <w:pPr>
        <w:pStyle w:val="Checklist"/>
      </w:pPr>
      <w:r>
        <w:t>☐  What settlement timing and reporting files are provided?</w:t>
      </w:r>
    </w:p>
    <w:p>
      <w:pPr>
        <w:pStyle w:val="Checklist"/>
      </w:pPr>
      <w:r>
        <w:t>☐  Does the integration use a bank hosted payment page, API, redirect, plugin or another method?</w:t>
      </w:r>
    </w:p>
    <w:p>
      <w:pPr>
        <w:pStyle w:val="Checklist"/>
      </w:pPr>
      <w:r>
        <w:t>☐  How are successful payments, failed payments, reversals and duplicate callbacks signed and verified?</w:t>
      </w:r>
    </w:p>
    <w:p>
      <w:pPr>
        <w:pStyle w:val="Checklist"/>
      </w:pPr>
      <w:r>
        <w:t>☐  Are partial payments, deposits, later balance payments and refunds supported?</w:t>
      </w:r>
    </w:p>
    <w:p>
      <w:pPr>
        <w:pStyle w:val="Checklist"/>
      </w:pPr>
      <w:r>
        <w:t>☐  What test credentials, implementation guide and production approval checks will be supplied?</w:t>
      </w:r>
    </w:p>
    <w:p>
      <w:pPr>
        <w:pStyle w:val="Checklist"/>
      </w:pPr>
      <w:r>
        <w:t>☐  Which website policies and security controls must be visible before approval?</w:t>
      </w:r>
    </w:p>
    <w:p>
      <w:pPr>
        <w:pStyle w:val="Heading1"/>
      </w:pPr>
      <w:r>
        <w:t>5 BSP e-Commerce and Internet Payment Gateway</w:t>
      </w:r>
    </w:p>
    <w:p>
      <w:r>
        <w:t>BSP's published Merchant Service Application Form includes e-Commerce as a preferred service. The form asks for the registered business details, business type, industry, current payment methods, transaction values, website information, SSL certificate, technical contact, currencies, nominated account and authorised declarations.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237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BSP form section</w:t>
            </w:r>
          </w:p>
        </w:tc>
        <w:tc>
          <w:tcPr>
            <w:tcW w:type="dxa" w:w="770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Information or action</w:t>
            </w:r>
          </w:p>
        </w:tc>
      </w:tr>
      <w:tr>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Merchant details</w:t>
            </w:r>
          </w:p>
        </w:tc>
        <w:tc>
          <w:tcPr>
            <w:tcW w:type="dxa" w:w="7704"/>
            <w:vAlign w:val="center"/>
            <w:tcMar>
              <w:top w:w="110" w:type="dxa"/>
              <w:start w:w="120" w:type="dxa"/>
              <w:bottom w:w="110" w:type="dxa"/>
              <w:end w:w="120" w:type="dxa"/>
            </w:tcMar>
          </w:tcPr>
          <w:p>
            <w:pPr>
              <w:spacing w:after="0" w:line="252" w:lineRule="auto"/>
            </w:pPr>
            <w:r/>
            <w:r>
              <w:rPr>
                <w:rFonts w:ascii="Arial" w:hAnsi="Arial"/>
                <w:b w:val="0"/>
                <w:color w:val="000000"/>
                <w:sz w:val="18"/>
              </w:rPr>
              <w:t>Registered company or business name and number; postal and physical addresses; nominated phone and email; contact name, position, telephone, email and mobile.</w:t>
            </w:r>
          </w:p>
        </w:tc>
      </w:tr>
      <w:tr>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Business details</w:t>
            </w:r>
          </w:p>
        </w:tc>
        <w:tc>
          <w:tcPr>
            <w:tcW w:type="dxa" w:w="770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Business structure and hotel or accommodation industry selection.</w:t>
            </w:r>
          </w:p>
        </w:tc>
      </w:tr>
      <w:tr>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Payment methods</w:t>
            </w:r>
          </w:p>
        </w:tc>
        <w:tc>
          <w:tcPr>
            <w:tcW w:type="dxa" w:w="7704"/>
            <w:vAlign w:val="center"/>
            <w:tcMar>
              <w:top w:w="110" w:type="dxa"/>
              <w:start w:w="120" w:type="dxa"/>
              <w:bottom w:w="110" w:type="dxa"/>
              <w:end w:w="120" w:type="dxa"/>
            </w:tcMar>
          </w:tcPr>
          <w:p>
            <w:pPr>
              <w:spacing w:after="0" w:line="252" w:lineRule="auto"/>
            </w:pPr>
            <w:r/>
            <w:r>
              <w:rPr>
                <w:rFonts w:ascii="Arial" w:hAnsi="Arial"/>
                <w:b w:val="0"/>
                <w:color w:val="000000"/>
                <w:sz w:val="18"/>
              </w:rPr>
              <w:t>How the lodge receives payments and pays expenses, with monthly and annual values.</w:t>
            </w:r>
          </w:p>
        </w:tc>
      </w:tr>
      <w:tr>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Nominated account</w:t>
            </w:r>
          </w:p>
        </w:tc>
        <w:tc>
          <w:tcPr>
            <w:tcW w:type="dxa" w:w="770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Account name, BSB or branch code, account number and preferred service.</w:t>
            </w:r>
          </w:p>
        </w:tc>
      </w:tr>
      <w:tr>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e-Commerce</w:t>
            </w:r>
          </w:p>
        </w:tc>
        <w:tc>
          <w:tcPr>
            <w:tcW w:type="dxa" w:w="7704"/>
            <w:vAlign w:val="center"/>
            <w:tcMar>
              <w:top w:w="110" w:type="dxa"/>
              <w:start w:w="120" w:type="dxa"/>
              <w:bottom w:w="110" w:type="dxa"/>
              <w:end w:w="120" w:type="dxa"/>
            </w:tcMar>
          </w:tcPr>
          <w:p>
            <w:pPr>
              <w:spacing w:after="0" w:line="252" w:lineRule="auto"/>
            </w:pPr>
            <w:r/>
            <w:r>
              <w:rPr>
                <w:rFonts w:ascii="Arial" w:hAnsi="Arial"/>
                <w:b w:val="0"/>
                <w:color w:val="000000"/>
                <w:sz w:val="18"/>
              </w:rPr>
              <w:t>Website URL, hosting company, website content management system, SSL certificate type and validity, IT contact, and requested currencies.</w:t>
            </w:r>
          </w:p>
        </w:tc>
      </w:tr>
      <w:tr>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Declaration</w:t>
            </w:r>
          </w:p>
        </w:tc>
        <w:tc>
          <w:tcPr>
            <w:tcW w:type="dxa" w:w="770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Authorised principal signatories, date and common seal where appropriate. The declaration accepts the merchant terms and permits BSP and service providers to assess the application.</w:t>
            </w:r>
          </w:p>
        </w:tc>
      </w:tr>
      <w:tr>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Bank review</w:t>
            </w:r>
          </w:p>
        </w:tc>
        <w:tc>
          <w:tcPr>
            <w:tcW w:type="dxa" w:w="7704"/>
            <w:vAlign w:val="center"/>
            <w:tcMar>
              <w:top w:w="110" w:type="dxa"/>
              <w:start w:w="120" w:type="dxa"/>
              <w:bottom w:w="110" w:type="dxa"/>
              <w:end w:w="120" w:type="dxa"/>
            </w:tcMar>
          </w:tcPr>
          <w:p>
            <w:pPr>
              <w:spacing w:after="0" w:line="252" w:lineRule="auto"/>
            </w:pPr>
            <w:r/>
            <w:r>
              <w:rPr>
                <w:rFonts w:ascii="Arial" w:hAnsi="Arial"/>
                <w:b w:val="0"/>
                <w:color w:val="000000"/>
                <w:sz w:val="18"/>
              </w:rPr>
              <w:t>BSP may ask for specific additional documents and may approve or decline the application.</w:t>
            </w:r>
          </w:p>
        </w:tc>
      </w:tr>
    </w:tbl>
    <w:p>
      <w:pPr>
        <w:spacing w:after="0"/>
      </w:pPr>
    </w:p>
    <w:p>
      <w:pPr>
        <w:pStyle w:val="Heading2"/>
      </w:pPr>
      <w:r>
        <w:t>BSP website readiness</w:t>
      </w:r>
    </w:p>
    <w:p>
      <w:pPr>
        <w:pStyle w:val="Checklist"/>
      </w:pPr>
      <w:r>
        <w:t>☐  Register the production domain and configure a valid HTTPS certificate.</w:t>
      </w:r>
    </w:p>
    <w:p>
      <w:pPr>
        <w:pStyle w:val="Checklist"/>
      </w:pPr>
      <w:r>
        <w:t>☐  Publish the legal business name, lodge address, phone number and support email.</w:t>
      </w:r>
    </w:p>
    <w:p>
      <w:pPr>
        <w:pStyle w:val="Checklist"/>
      </w:pPr>
      <w:r>
        <w:t>☐  Show room descriptions, prices, taxes and charges before payment.</w:t>
      </w:r>
    </w:p>
    <w:p>
      <w:pPr>
        <w:pStyle w:val="Checklist"/>
      </w:pPr>
      <w:r>
        <w:t>☐  Publish cancellation, refund, privacy and website terms.</w:t>
      </w:r>
    </w:p>
    <w:p>
      <w:pPr>
        <w:pStyle w:val="Checklist"/>
      </w:pPr>
      <w:r>
        <w:t>☐  Provide a booking reference and electronic payment receipt.</w:t>
      </w:r>
    </w:p>
    <w:p>
      <w:pPr>
        <w:pStyle w:val="Checklist"/>
      </w:pPr>
      <w:r>
        <w:t>☐  Use the bank approved checkout method and keep card data outside the lodge system.</w:t>
      </w:r>
    </w:p>
    <w:p>
      <w:pPr>
        <w:pStyle w:val="Checklist"/>
      </w:pPr>
      <w:r>
        <w:t>☐  Prepare the production URL, hosting provider, platform name and IT contact for the application form.</w:t>
      </w:r>
    </w:p>
    <w:p>
      <w:pPr>
        <w:pStyle w:val="Heading1"/>
      </w:pPr>
      <w:r>
        <w:t>6 Technical integration requirements to confirm with the selected bank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208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Topic</w:t>
            </w:r>
          </w:p>
        </w:tc>
        <w:tc>
          <w:tcPr>
            <w:tcW w:type="dxa" w:w="799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Required confirmation</w:t>
            </w:r>
          </w:p>
        </w:tc>
      </w:tr>
      <w:tr>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Checkout</w:t>
            </w:r>
          </w:p>
        </w:tc>
        <w:tc>
          <w:tcPr>
            <w:tcW w:type="dxa" w:w="7992"/>
            <w:vAlign w:val="center"/>
            <w:tcMar>
              <w:top w:w="110" w:type="dxa"/>
              <w:start w:w="120" w:type="dxa"/>
              <w:bottom w:w="110" w:type="dxa"/>
              <w:end w:w="120" w:type="dxa"/>
            </w:tcMar>
          </w:tcPr>
          <w:p>
            <w:pPr>
              <w:spacing w:after="0" w:line="252" w:lineRule="auto"/>
            </w:pPr>
            <w:r/>
            <w:r>
              <w:rPr>
                <w:rFonts w:ascii="Arial" w:hAnsi="Arial"/>
                <w:b w:val="0"/>
                <w:color w:val="000000"/>
                <w:sz w:val="18"/>
              </w:rPr>
              <w:t>Hosted page or direct API; supported browsers and mobile behaviour.</w:t>
            </w:r>
          </w:p>
        </w:tc>
      </w:tr>
      <w:tr>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Authentication</w:t>
            </w:r>
          </w:p>
        </w:tc>
        <w:tc>
          <w:tcPr>
            <w:tcW w:type="dxa" w:w="799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Merchant ID, keys or certificates; storage and rotation rules.</w:t>
            </w:r>
          </w:p>
        </w:tc>
      </w:tr>
      <w:tr>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Payment result</w:t>
            </w:r>
          </w:p>
        </w:tc>
        <w:tc>
          <w:tcPr>
            <w:tcW w:type="dxa" w:w="7992"/>
            <w:vAlign w:val="center"/>
            <w:tcMar>
              <w:top w:w="110" w:type="dxa"/>
              <w:start w:w="120" w:type="dxa"/>
              <w:bottom w:w="110" w:type="dxa"/>
              <w:end w:w="120" w:type="dxa"/>
            </w:tcMar>
          </w:tcPr>
          <w:p>
            <w:pPr>
              <w:spacing w:after="0" w:line="252" w:lineRule="auto"/>
            </w:pPr>
            <w:r/>
            <w:r>
              <w:rPr>
                <w:rFonts w:ascii="Arial" w:hAnsi="Arial"/>
                <w:b w:val="0"/>
                <w:color w:val="000000"/>
                <w:sz w:val="18"/>
              </w:rPr>
              <w:t>Server callback format, signature verification, retry rules and idempotency.</w:t>
            </w:r>
          </w:p>
        </w:tc>
      </w:tr>
      <w:tr>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Amounts</w:t>
            </w:r>
          </w:p>
        </w:tc>
        <w:tc>
          <w:tcPr>
            <w:tcW w:type="dxa" w:w="799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PGK support, decimal format, minimum and maximum payment, deposit and balance payments.</w:t>
            </w:r>
          </w:p>
        </w:tc>
      </w:tr>
      <w:tr>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Status</w:t>
            </w:r>
          </w:p>
        </w:tc>
        <w:tc>
          <w:tcPr>
            <w:tcW w:type="dxa" w:w="7992"/>
            <w:vAlign w:val="center"/>
            <w:tcMar>
              <w:top w:w="110" w:type="dxa"/>
              <w:start w:w="120" w:type="dxa"/>
              <w:bottom w:w="110" w:type="dxa"/>
              <w:end w:w="120" w:type="dxa"/>
            </w:tcMar>
          </w:tcPr>
          <w:p>
            <w:pPr>
              <w:spacing w:after="0" w:line="252" w:lineRule="auto"/>
            </w:pPr>
            <w:r/>
            <w:r>
              <w:rPr>
                <w:rFonts w:ascii="Arial" w:hAnsi="Arial"/>
                <w:b w:val="0"/>
                <w:color w:val="000000"/>
                <w:sz w:val="18"/>
              </w:rPr>
              <w:t>Approved, declined, pending, reversed, voided, refunded and chargeback handling.</w:t>
            </w:r>
          </w:p>
        </w:tc>
      </w:tr>
      <w:tr>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Reconciliation</w:t>
            </w:r>
          </w:p>
        </w:tc>
        <w:tc>
          <w:tcPr>
            <w:tcW w:type="dxa" w:w="799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Settlement schedule, bank statement reference, portal reports and downloadable files.</w:t>
            </w:r>
          </w:p>
        </w:tc>
      </w:tr>
      <w:tr>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Testing</w:t>
            </w:r>
          </w:p>
        </w:tc>
        <w:tc>
          <w:tcPr>
            <w:tcW w:type="dxa" w:w="7992"/>
            <w:vAlign w:val="center"/>
            <w:tcMar>
              <w:top w:w="110" w:type="dxa"/>
              <w:start w:w="120" w:type="dxa"/>
              <w:bottom w:w="110" w:type="dxa"/>
              <w:end w:w="120" w:type="dxa"/>
            </w:tcMar>
          </w:tcPr>
          <w:p>
            <w:pPr>
              <w:spacing w:after="0" w:line="252" w:lineRule="auto"/>
            </w:pPr>
            <w:r/>
            <w:r>
              <w:rPr>
                <w:rFonts w:ascii="Arial" w:hAnsi="Arial"/>
                <w:b w:val="0"/>
                <w:color w:val="000000"/>
                <w:sz w:val="18"/>
              </w:rPr>
              <w:t>Sandbox access, approved test cases, certification process and production cutover.</w:t>
            </w:r>
          </w:p>
        </w:tc>
      </w:tr>
      <w:tr>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Support</w:t>
            </w:r>
          </w:p>
        </w:tc>
        <w:tc>
          <w:tcPr>
            <w:tcW w:type="dxa" w:w="799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Technical support contact, incident hours, planned maintenance and escalation route.</w:t>
            </w:r>
          </w:p>
        </w:tc>
      </w:tr>
    </w:tbl>
    <w:p>
      <w:pPr>
        <w:spacing w:after="0"/>
      </w:pPr>
    </w:p>
    <w:p>
      <w:pPr>
        <w:pStyle w:val="Heading1"/>
      </w:pPr>
      <w:r>
        <w:t>7 Documents to take to the bank meeting</w:t>
      </w:r>
    </w:p>
    <w:p>
      <w:pPr>
        <w:pStyle w:val="Checklist"/>
      </w:pPr>
      <w:r>
        <w:t>☐  Completed or draft merchant application form.</w:t>
      </w:r>
    </w:p>
    <w:p>
      <w:pPr>
        <w:pStyle w:val="Checklist"/>
      </w:pPr>
      <w:r>
        <w:t>☐  IPA certificate or current business registration record.</w:t>
      </w:r>
    </w:p>
    <w:p>
      <w:pPr>
        <w:pStyle w:val="Checklist"/>
      </w:pPr>
      <w:r>
        <w:t>☐  Tax and regulatory records requested by the bank.</w:t>
      </w:r>
    </w:p>
    <w:p>
      <w:pPr>
        <w:pStyle w:val="Checklist"/>
      </w:pPr>
      <w:r>
        <w:t>☐  Identification for owners, directors or signatories as requested.</w:t>
      </w:r>
    </w:p>
    <w:p>
      <w:pPr>
        <w:pStyle w:val="Checklist"/>
      </w:pPr>
      <w:r>
        <w:t>☐  Board resolution, mandate or other evidence of signing authority where applicable.</w:t>
      </w:r>
    </w:p>
    <w:p>
      <w:pPr>
        <w:pStyle w:val="Checklist"/>
      </w:pPr>
      <w:r>
        <w:t>☐  Recent account details or request to open the required business account.</w:t>
      </w:r>
    </w:p>
    <w:p>
      <w:pPr>
        <w:pStyle w:val="Checklist"/>
      </w:pPr>
      <w:r>
        <w:t>☐  Website architecture and sample booking flow.</w:t>
      </w:r>
    </w:p>
    <w:p>
      <w:pPr>
        <w:pStyle w:val="Checklist"/>
      </w:pPr>
      <w:r>
        <w:t>☐  Deposit, cancellation, refund, privacy and customer complaint policies.</w:t>
      </w:r>
    </w:p>
    <w:p>
      <w:pPr>
        <w:pStyle w:val="Checklist"/>
      </w:pPr>
      <w:r>
        <w:t>☐  Expected payment volumes and values.</w:t>
      </w:r>
    </w:p>
    <w:p>
      <w:pPr>
        <w:pStyle w:val="Checklist"/>
      </w:pPr>
      <w:r>
        <w:t>☐  Developer and business contacts.</w:t>
      </w:r>
    </w:p>
    <w:p>
      <w:pPr>
        <w:pStyle w:val="Heading1"/>
      </w:pPr>
      <w:r>
        <w:t>8 Published contacts and sources</w:t>
      </w:r>
    </w:p>
    <w:p>
      <w:r>
        <w:t>Kina Bank: toll free 180 1525; telephone +675 308 3800; email kina@kinabank.com.pg. Product page: https://www.kinabank.com.pg/digital-banking/kina-internet-payment-gateway/</w:t>
      </w:r>
    </w:p>
    <w:p>
      <w:r>
        <w:t>BSP: the Merchant Service Application Form directs applicants to the BSP Call Centre on 320 1212 or 7030 1212 in PNG, or to the nearest BSP branch. Application form: https://www.bsp.com.pg/media/55mb5pxy/merchant-service-form_121222.pdf</w:t>
      </w:r>
    </w:p>
    <w:p>
      <w:r>
        <w:t>BSP merchant fees page: https://www.bsp.com.pg/help/merchant-fee-schedule/</w:t>
      </w:r>
    </w:p>
    <w:p>
      <w:r>
        <w:t>Checked on 5 September 2026. Obtain fresh forms and written fee quotations before signing, because product terms and onboarding requirements may change.</w:t>
      </w:r>
    </w:p>
    <w:sectPr>
      <w:headerReference r:id="rId10" w:type="default"/>
      <w:headerReference r:id="rId11" w:type="first"/>
      <w:footerReference r:id="rId12" w:type="default"/>
      <w:footerReference r:id="rId13" w:type="first"/>
      <w:pgSz w:h="15840" w:w="12240" w:orient="portrait"/>
      <w:pgMar w:bottom="936" w:top="979" w:left="1037" w:right="10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right"/>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color w:val="5E7890"/>
        <w:sz w:val="16"/>
      </w:rPr>
      <w:t xml:space="preserve">Kina Bank and BSP merchant requirements  |  </w:t>
    </w:r>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9" w:lineRule="auto"/>
    </w:pPr>
    <w:rPr>
      <w:rFonts w:ascii="Arial" w:hAnsi="Arial"/>
      <w:b w:val="0"/>
      <w:color w:val="222222"/>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Arial" w:hAnsi="Arial"/>
      <w:b/>
      <w:bCs w:val="1"/>
      <w:color w:val="000000"/>
      <w:sz w:val="32"/>
      <w:szCs w:val="27"/>
    </w:rPr>
  </w:style>
  <w:style w:type="paragraph" w:styleId="Heading2">
    <w:name w:val="heading 2"/>
    <w:basedOn w:val="Normal"/>
    <w:next w:val="Normal"/>
    <w:pPr>
      <w:keepNext/>
      <w:keepLines w:val="1"/>
      <w:spacing w:after="100" w:before="160" w:lineRule="auto"/>
    </w:pPr>
    <w:rPr>
      <w:rFonts w:ascii="Arial" w:cs="Calibri" w:eastAsia="Calibri" w:hAnsi="Arial"/>
      <w:b/>
      <w:bCs w:val="1"/>
      <w:smallCaps w:val="1"/>
      <w:color w:val="000000"/>
      <w:sz w:val="25"/>
      <w:szCs w:val="19"/>
    </w:rPr>
  </w:style>
  <w:style w:type="paragraph" w:styleId="Heading3">
    <w:name w:val="heading 3"/>
    <w:basedOn w:val="Normal"/>
    <w:next w:val="Normal"/>
    <w:pPr>
      <w:keepNext/>
      <w:keepLines w:val="1"/>
      <w:spacing w:before="160" w:after="100"/>
    </w:pPr>
    <w:rPr>
      <w:rFonts w:ascii="Arial" w:cs="Helvetica Neue" w:eastAsia="Helvetica Neue" w:hAnsi="Arial"/>
      <w:b/>
      <w:bCs w:val="1"/>
      <w:color w:val="000000"/>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Arial" w:hAnsi="Arial"/>
      <w:b/>
      <w:bCs w:val="1"/>
      <w:color w:val="12304A"/>
      <w:sz w:val="50"/>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Checklist">
    <w:name w:val="Checklist"/>
    <w:basedOn w:val="Normal"/>
    <w:pPr>
      <w:spacing w:after="80"/>
      <w:ind w:left="216" w:hanging="216"/>
    </w:pPr>
  </w:style>
  <w:style w:type="paragraph" w:customStyle="1" w:styleId="BulletText">
    <w:name w:val="Bullet Text"/>
    <w:basedOn w:val="Normal"/>
    <w:pPr>
      <w:spacing w:after="80"/>
      <w:ind w:left="346" w:hanging="259"/>
    </w:p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03 Kina Bank and BSP Payment Gateway Requirements</dc:title>
  <cp:lastModifiedBy/>
  <cp:revision>1</cp:revision>
  <dcterms:modified xsi:type="dcterms:W3CDTF">2026-09-05T10:20:34Z</dcterms:modified>
  <dc:creator/>
</cp:coreProperties>
</file>