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1F3A5F"/>
          <w:sz w:val="34"/>
          <w:szCs w:val="34"/>
        </w:rPr>
        <w:t>PARECER JURÍDICO</w:t>
      </w:r>
    </w:p>
    <w:p>
      <w:pPr>
        <w:pStyle w:val="Normal"/>
        <w:spacing w:before="0" w:after="160"/>
        <w:rPr/>
      </w:pPr>
      <w:r>
        <w:rPr>
          <w:color w:val="555555"/>
          <w:sz w:val="24"/>
          <w:szCs w:val="24"/>
        </w:rPr>
        <w:t>Aquisição de clientes e proteção de dados (RGPD) — Projeto CheckAL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000"/>
        <w:gridCol w:w="7360"/>
      </w:tblGrid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A5F"/>
                <w:sz w:val="19"/>
                <w:szCs w:val="19"/>
              </w:rPr>
              <w:t>Responsável: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Cosmic Oasis, Lda. (operadora do serviço CheckAL)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A5F"/>
                <w:sz w:val="19"/>
                <w:szCs w:val="19"/>
              </w:rPr>
              <w:t>Data: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6 de julho de 2026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A5F"/>
                <w:sz w:val="19"/>
                <w:szCs w:val="19"/>
              </w:rPr>
              <w:t>Objeto: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Decisão go / no-go sobre a estratégia de aquisição de clientes proprietários de Alojamento Local (AL)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A5F"/>
                <w:sz w:val="19"/>
                <w:szCs w:val="19"/>
              </w:rPr>
              <w:t>Natureza:</w:t>
            </w:r>
          </w:p>
        </w:tc>
        <w:tc>
          <w:tcPr>
            <w:tcW w:w="736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Nota de decisão — informação jurídica (ver ressalva final)</w:t>
            </w:r>
          </w:p>
        </w:tc>
      </w:tr>
    </w:tbl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📋 </w:t>
      </w:r>
      <w:r>
        <w:rPr>
          <w:b/>
          <w:bCs/>
          <w:color w:val="1F3A5F"/>
          <w:sz w:val="27"/>
          <w:szCs w:val="27"/>
        </w:rPr>
        <w:t>Síntese executiva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O motor de aquisição deve assentar em consentimento (o widget de verificação gratuita) e em parcerias — é o único desenho que elimina o risco jurídico, em vez de o administrar. O contacto a frio aos dados do RNAL é, na melhor das hipóteses, risco gerido, nunca eliminado.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Por canal, em síntese: </w:t>
      </w:r>
      <w:r>
        <w:rPr>
          <w:sz w:val="21"/>
          <w:szCs w:val="21"/>
        </w:rPr>
        <w:t xml:space="preserve">email a pessoas singulares / ENI está </w:t>
      </w:r>
      <w:r>
        <w:rPr>
          <w:b/>
          <w:bCs/>
          <w:sz w:val="21"/>
          <w:szCs w:val="21"/>
        </w:rPr>
        <w:t>vedado</w:t>
      </w:r>
      <w:r>
        <w:rPr>
          <w:sz w:val="21"/>
          <w:szCs w:val="21"/>
        </w:rPr>
        <w:t xml:space="preserve"> (exige opt-in prévio); o canal frio mais limpo é o email a endereços genéricos de pessoa coletiva (opt-out); a carta postal a singulares é defensável com uma avaliação de interesse legítimo (LIA) documentada, mas não isenta de risco.</w:t>
      </w:r>
    </w:p>
    <w:p>
      <w:pPr>
        <w:pStyle w:val="Normal"/>
        <w:spacing w:lineRule="auto" w:line="276" w:before="0" w:after="120"/>
        <w:rPr/>
      </w:pPr>
      <w:r>
        <w:rPr>
          <w:b/>
          <w:bCs/>
          <w:color w:val="B00020"/>
          <w:sz w:val="21"/>
          <w:szCs w:val="21"/>
        </w:rPr>
        <w:t xml:space="preserve">Pressuposto crítico por confirmar: </w:t>
      </w:r>
      <w:r>
        <w:rPr>
          <w:sz w:val="21"/>
          <w:szCs w:val="21"/>
        </w:rPr>
        <w:t>que o email do titular seja efetivamente um campo de publicação obrigatória por lei. Se não for, a estratégia de contacto a frio fica muito frágil e o texto do Anexo 1 contém uma afirmação falsa. Resolver isto é a primeira tarefa, antes de qualquer decisão.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⚠️ </w:t>
      </w:r>
      <w:r>
        <w:rPr>
          <w:b/>
          <w:bCs/>
          <w:color w:val="1F3A5F"/>
          <w:sz w:val="27"/>
          <w:szCs w:val="27"/>
        </w:rPr>
        <w:t>O pressuposto crítico a confirmar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O briefing afirma que o RNAL publica o email do titular por imposição do art. 10.º do DL 128/2014. Este pressuposto deve ser verificado juridicamente antes de tudo o resto — há razões sérias para duvidar dele.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Pela leitura dos campos que o registo torna obrigatórios e públicos, o que aparece é nome/firma, NIF, morada do titular, nome e morada do estabelecimento e, como contacto, tipicamente o nome, morada e telefone da pessoa a contactar em caso de emergência. O email do titular não é, de forma evidente, um campo de publicação obrigatória.</w:t>
      </w:r>
    </w:p>
    <w:p>
      <w:pPr>
        <w:pStyle w:val="Normal"/>
        <w:spacing w:lineRule="auto" w:line="276" w:before="0" w:after="60"/>
        <w:rPr/>
      </w:pPr>
      <w:r>
        <w:rPr>
          <w:sz w:val="21"/>
          <w:szCs w:val="21"/>
        </w:rPr>
        <w:t>As consequências, consoante o cenário:</w:t>
      </w:r>
    </w:p>
    <w:p>
      <w:pPr>
        <w:pStyle w:val="ListParagraph"/>
        <w:numPr>
          <w:ilvl w:val="0"/>
          <w:numId w:val="3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>Se o email não for campo público imposto por lei</w:t>
      </w:r>
      <w:r>
        <w:rPr>
          <w:sz w:val="21"/>
          <w:szCs w:val="21"/>
        </w:rPr>
        <w:t xml:space="preserve"> — a base «público por imposição do art. 10.º», que consta literalmente do Anexo 1, é falsa. Uma nota de informação (art. 14.º RGPD) que invoca uma publicidade legal inexistente é, ela própria, uma violação da lealdade e transparência (art. 5.º/1/a).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>Se o email vier do campo de contacto de emergência</w:t>
      </w:r>
      <w:r>
        <w:rPr>
          <w:sz w:val="21"/>
          <w:szCs w:val="21"/>
        </w:rPr>
        <w:t xml:space="preserve"> — está-se a usar um dado recolhido para emergências de hóspedes com finalidade de marketing: violação grosseira da limitação das finalidades.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>Se vier de uma API que devolve mais do que o portal público</w:t>
      </w:r>
      <w:r>
        <w:rPr>
          <w:sz w:val="21"/>
          <w:szCs w:val="21"/>
        </w:rPr>
        <w:t xml:space="preserve"> — é preciso saber com que fundamento legal esse dado é disponibilizado.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Ação n.º 1: </w:t>
      </w:r>
      <w:r>
        <w:rPr>
          <w:sz w:val="21"/>
          <w:szCs w:val="21"/>
        </w:rPr>
        <w:t>confirmar, campo a campo, o que a fonte disponibiliza e sob que base legal. Sem isto, a análise de reutilização é especulativa.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⚖️ </w:t>
      </w:r>
      <w:r>
        <w:rPr>
          <w:b/>
          <w:bCs/>
          <w:color w:val="1F3A5F"/>
          <w:sz w:val="27"/>
          <w:szCs w:val="27"/>
        </w:rPr>
        <w:t>Enquadramento jurídico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RGPD (Reg. UE 2016/679): </w:t>
      </w:r>
      <w:r>
        <w:rPr>
          <w:sz w:val="21"/>
          <w:szCs w:val="21"/>
        </w:rPr>
        <w:t>arts. 5.º/1/a e b (lealdade, limitação das finalidades), 6.º/1/f e 6.º/4 (interesse legítimo e teste de compatibilidade), 13.º/14.º (informação), 21.º (oposição, absoluta em marketing direto), 28.º (subcontratantes), 30.º (registo de atividades), 44.º e ss. (transferências internacionais), 83.º (coimas).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Lei 58/2019 (execução do RGPD): </w:t>
      </w:r>
      <w:r>
        <w:rPr>
          <w:sz w:val="21"/>
          <w:szCs w:val="21"/>
        </w:rPr>
        <w:t>moldura nacional; a CNPD desaplicou normas suas por contrariedade ao Direito da UE (Deliberação 2019/494), pelo que o regime sancionatório se rege sobretudo pelo art. 83.º do RGPD.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Lei 41/2004 (Privacidade nas Comunicações Eletrónicas): </w:t>
      </w:r>
      <w:r>
        <w:rPr>
          <w:sz w:val="21"/>
          <w:szCs w:val="21"/>
        </w:rPr>
        <w:t>art. 13.º-A (comunicações não solicitadas — opt-in para pessoas singulares; opt-out para pessoas coletivas) e art. 13.º-B (listas de consentimento/oposição).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Diretriz CNPD 2022/1 (marketing direto): </w:t>
      </w:r>
      <w:r>
        <w:rPr>
          <w:sz w:val="21"/>
          <w:szCs w:val="21"/>
        </w:rPr>
        <w:t>na reutilização de dados para finalidade diferente da recolha inicial, o princípio da lealdade e as expectativas do titular no momento em que forneceu os dados são preponderantes — diretamente aplicável ao caso.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DL 128/2014 (regime do AL), na redação do DL 76/2024: </w:t>
      </w:r>
      <w:r>
        <w:rPr>
          <w:sz w:val="21"/>
          <w:szCs w:val="21"/>
        </w:rPr>
        <w:t>regime volátil (reverteu medidas do «Mais Habitação»); relevante como risco de negócio e para a base de publicidade da fonte.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Lei 10/2024 (Atos de Advogados e Solicitadores): </w:t>
      </w:r>
      <w:r>
        <w:rPr>
          <w:sz w:val="21"/>
          <w:szCs w:val="21"/>
        </w:rPr>
        <w:t>define consulta jurídica como aconselhamento que consiste na interpretação e aplicação de normas mediante solicitação de terceiro — relevante para a questão da atividade reservada.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DL 446/85 (cláusulas contratuais gerais), Lei 24/96 e DL 84/2021: </w:t>
      </w:r>
      <w:r>
        <w:rPr>
          <w:sz w:val="21"/>
          <w:szCs w:val="21"/>
        </w:rPr>
        <w:t>controlo de cláusulas abusivas em contratos de consumo — relevante para o limite de responsabilidade.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🎯 </w:t>
      </w:r>
      <w:r>
        <w:rPr>
          <w:b/>
          <w:bCs/>
          <w:color w:val="1F3A5F"/>
          <w:sz w:val="27"/>
          <w:szCs w:val="27"/>
        </w:rPr>
        <w:t>Tabela de decisão por canal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649"/>
        <w:gridCol w:w="1450"/>
        <w:gridCol w:w="5261"/>
      </w:tblGrid>
      <w:tr>
        <w:trPr>
          <w:tblHeader w:val="true"/>
        </w:trPr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Canal de contacto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Pode?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A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Condição / ressalva essencial</w:t>
            </w:r>
          </w:p>
        </w:tc>
      </w:tr>
      <w:tr>
        <w:trPr/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1. Widget de verificação (consentimento)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6B33"/>
                <w:sz w:val="19"/>
                <w:szCs w:val="19"/>
              </w:rPr>
              <w:t>SIM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Consentimento válido (art. 4.º/11 e 7.º RGPD): checkbox não pré-preenchida e não condicionada ao relatório. Falta garantir identidade do responsável + link à política adjacentes, e registar prova do consentimento (timestamp, versão do texto). Idealmente separar «alertas do serviço» de «ofertas comerciais».</w:t>
            </w:r>
          </w:p>
        </w:tc>
      </w:tr>
      <w:tr>
        <w:trPr/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4E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2. Email frio a coletiva — endereço genérico (geral@)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4E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6B33"/>
                <w:sz w:val="19"/>
                <w:szCs w:val="19"/>
              </w:rPr>
              <w:t>SIM, com condições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F4E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 o endereço não identifica pessoa singular, não é dado pessoal e o RGPD não se aplica ao contacto. Fica só a Lei 41/2004: identificação do remetente + opt-out em cada mensagem + honrar oposição + lista de supressão. Canal frio mais limpo.</w:t>
            </w:r>
          </w:p>
        </w:tc>
      </w:tr>
      <w:tr>
        <w:trPr/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F6E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3. Email frio a coletiva — pessoa identificada (nome.apelido@)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F6E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8A6D00"/>
                <w:sz w:val="19"/>
                <w:szCs w:val="19"/>
              </w:rPr>
              <w:t>COM CONDIÇÕES (risco moderado)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F6E9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É dado pessoal → RGPD aplica-se. Defensável como B2B opt-out se: LIA robusta + nota art. 14.º na 1.ª mensagem + opt-out imediato + serviço relevante à atividade. Fragilidade real: expectativa razoável. Zona cinzenta — não é «limpo».</w:t>
            </w:r>
          </w:p>
        </w:tc>
      </w:tr>
      <w:tr>
        <w:trPr/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F6E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4. Carta postal a pessoa singular / ENI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F6E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8A6D00"/>
                <w:sz w:val="19"/>
                <w:szCs w:val="19"/>
              </w:rPr>
              <w:t>COM CONDIÇÕES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F6E9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Fora da Lei 41/2004; só RGPD. Interesse legítimo (art. 6.º/1/f) com LIA documentada + nota art. 14.º + direito de oposição (art. 21.º/2, absoluto). Canal mais defensável para chegar a singulares. Não é 100% seguro.</w:t>
            </w:r>
          </w:p>
        </w:tc>
      </w:tr>
      <w:tr>
        <w:trPr/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9ECE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5. Email frio a pessoa singular / ENI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9ECE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B00020"/>
                <w:sz w:val="19"/>
                <w:szCs w:val="19"/>
              </w:rPr>
              <w:t>NÃO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9ECE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Lei 41/2004, art. 13.º-A, exige opt-in prévio. ENI = pessoa singular. É o principal motor de queixas à CNPD. Não fazer.</w:t>
            </w:r>
          </w:p>
        </w:tc>
      </w:tr>
    </w:tbl>
    <w:p>
      <w:pPr>
        <w:pStyle w:val="Normal"/>
        <w:spacing w:before="140" w:after="120"/>
        <w:rPr/>
      </w:pPr>
      <w:r>
        <w:rPr>
          <w:b/>
          <w:bCs/>
          <w:sz w:val="21"/>
          <w:szCs w:val="21"/>
        </w:rPr>
        <w:t xml:space="preserve">Arrancar amanhã: </w:t>
      </w:r>
      <w:r>
        <w:rPr>
          <w:sz w:val="21"/>
          <w:szCs w:val="21"/>
        </w:rPr>
        <w:t>ligar já o canal 1 (widget) e, resolvido o pressuposto da fonte, o canal 2 (geral@, opt-out) como acelerador. A carta postal (4) fica para depois de existir LIA escrita e Anexo 1 corrigido. Email a singulares/ENI (5): nunca.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💡 </w:t>
      </w:r>
      <w:r>
        <w:rPr>
          <w:b/>
          <w:bCs/>
          <w:color w:val="1F3A5F"/>
          <w:sz w:val="27"/>
          <w:szCs w:val="27"/>
        </w:rPr>
        <w:t>Recomendação estratégica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Motor primário: consentimento + parcerias. </w:t>
      </w:r>
      <w:r>
        <w:rPr>
          <w:sz w:val="21"/>
          <w:szCs w:val="21"/>
        </w:rPr>
        <w:t>É o caminho que permite «dormir descansado». Contabilistas, gestores de AL e associações do setor trazem clientes já introduzidos ou consentidos; o widget capta quem procura o serviço. Complementar com conteúdo/SEO/anúncios que drenam tráfego para o widget — zero reutilização de dados pessoais de terceiros. Isto elimina o risco na raiz.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Contacto a frio: exceção bem-documentada, não a espinha dorsal. </w:t>
      </w:r>
      <w:r>
        <w:rPr>
          <w:sz w:val="21"/>
          <w:szCs w:val="21"/>
        </w:rPr>
        <w:t>A CNPD é explícita: na reutilização, a expectativa razoável do titular é decisiva, e quem publica um contacto num registo regulatório não espera marketing de terceiros. Isso enfraquece o interesse legítimo — não o mata, mas obriga a limitar os canais frios aos de menor exposição (geral@ em opt-out; carta postal a singulares com LIA).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⚠️ </w:t>
      </w:r>
      <w:r>
        <w:rPr>
          <w:b/>
          <w:bCs/>
          <w:color w:val="1F3A5F"/>
          <w:sz w:val="27"/>
          <w:szCs w:val="27"/>
        </w:rPr>
        <w:t>Matriz de riscos</w:t>
      </w:r>
    </w:p>
    <w:p>
      <w:pPr>
        <w:pStyle w:val="Normal"/>
        <w:spacing w:lineRule="auto" w:line="276" w:before="0" w:after="110"/>
        <w:rPr/>
      </w:pPr>
      <w:r>
        <w:rPr>
          <w:b/>
          <w:bCs/>
          <w:color w:val="B00020"/>
          <w:sz w:val="21"/>
          <w:szCs w:val="21"/>
        </w:rPr>
        <w:t xml:space="preserve">🔴 </w:t>
      </w:r>
      <w:r>
        <w:rPr>
          <w:b/>
          <w:bCs/>
          <w:color w:val="B00020"/>
          <w:sz w:val="21"/>
          <w:szCs w:val="21"/>
        </w:rPr>
        <w:t xml:space="preserve">CRÍTICO (imediato).  </w:t>
      </w:r>
      <w:r>
        <w:rPr>
          <w:sz w:val="21"/>
          <w:szCs w:val="21"/>
        </w:rPr>
        <w:t>Email frio a pessoas singulares/ENI sem opt-in — violação do art. 13.º-A da Lei 41/2004; é o principal motor de queixas à CNPD. Moldura de coima: art. 83.º RGPD (até 20 M€ / 4% do volume de negócios no escalão grave).</w:t>
      </w:r>
    </w:p>
    <w:p>
      <w:pPr>
        <w:pStyle w:val="Normal"/>
        <w:spacing w:lineRule="auto" w:line="276" w:before="0" w:after="110"/>
        <w:rPr/>
      </w:pPr>
      <w:r>
        <w:rPr>
          <w:b/>
          <w:bCs/>
          <w:color w:val="B00020"/>
          <w:sz w:val="21"/>
          <w:szCs w:val="21"/>
        </w:rPr>
        <w:t xml:space="preserve">🔴 </w:t>
      </w:r>
      <w:r>
        <w:rPr>
          <w:b/>
          <w:bCs/>
          <w:color w:val="B00020"/>
          <w:sz w:val="21"/>
          <w:szCs w:val="21"/>
        </w:rPr>
        <w:t xml:space="preserve">CRÍTICO (imediato).  </w:t>
      </w:r>
      <w:r>
        <w:rPr>
          <w:sz w:val="21"/>
          <w:szCs w:val="21"/>
        </w:rPr>
        <w:t>Invocar no Anexo 1 uma base de publicidade legal inexistente, ou usar dados do campo de emergência para marketing — violação de lealdade e de limitação das finalidades.</w:t>
      </w:r>
    </w:p>
    <w:p>
      <w:pPr>
        <w:pStyle w:val="Normal"/>
        <w:spacing w:lineRule="auto" w:line="276" w:before="0" w:after="110"/>
        <w:rPr/>
      </w:pPr>
      <w:r>
        <w:rPr>
          <w:b/>
          <w:bCs/>
          <w:color w:val="8A6D00"/>
          <w:sz w:val="21"/>
          <w:szCs w:val="21"/>
        </w:rPr>
        <w:t xml:space="preserve">🟡 </w:t>
      </w:r>
      <w:r>
        <w:rPr>
          <w:b/>
          <w:bCs/>
          <w:color w:val="8A6D00"/>
          <w:sz w:val="21"/>
          <w:szCs w:val="21"/>
        </w:rPr>
        <w:t xml:space="preserve">MODERADO (6–24 meses).  </w:t>
      </w:r>
      <w:r>
        <w:rPr>
          <w:sz w:val="21"/>
          <w:szCs w:val="21"/>
        </w:rPr>
        <w:t>Email a pessoa identificada em endereço de pessoa coletiva e carta postal a singulares assentes em interesse legítimo com LIA fraca: expostos a queixa e a ordem de cessação; desfecho típico para PME cooperante em 1.ª infração é advertência/coima modesta, mas o risco é real.</w:t>
      </w:r>
    </w:p>
    <w:p>
      <w:pPr>
        <w:pStyle w:val="Normal"/>
        <w:spacing w:lineRule="auto" w:line="276" w:before="0" w:after="110"/>
        <w:rPr/>
      </w:pPr>
      <w:r>
        <w:rPr>
          <w:b/>
          <w:bCs/>
          <w:color w:val="8A6D00"/>
          <w:sz w:val="21"/>
          <w:szCs w:val="21"/>
        </w:rPr>
        <w:t xml:space="preserve">🟡 </w:t>
      </w:r>
      <w:r>
        <w:rPr>
          <w:b/>
          <w:bCs/>
          <w:color w:val="8A6D00"/>
          <w:sz w:val="21"/>
          <w:szCs w:val="21"/>
        </w:rPr>
        <w:t xml:space="preserve">MODERADO.  </w:t>
      </w:r>
      <w:r>
        <w:rPr>
          <w:sz w:val="21"/>
          <w:szCs w:val="21"/>
        </w:rPr>
        <w:t>Ausência de contratos de subcontratação (art. 28.º) e de mecanismo de transferência internacional (art. 44.º e ss.) para fornecedores de email/IA fora do EEE.</w:t>
      </w:r>
    </w:p>
    <w:p>
      <w:pPr>
        <w:pStyle w:val="Normal"/>
        <w:spacing w:lineRule="auto" w:line="276" w:before="0" w:after="110"/>
        <w:rPr/>
      </w:pPr>
      <w:r>
        <w:rPr>
          <w:b/>
          <w:bCs/>
          <w:color w:val="8A6D00"/>
          <w:sz w:val="21"/>
          <w:szCs w:val="21"/>
        </w:rPr>
        <w:t xml:space="preserve">🟡 </w:t>
      </w:r>
      <w:r>
        <w:rPr>
          <w:b/>
          <w:bCs/>
          <w:color w:val="8A6D00"/>
          <w:sz w:val="21"/>
          <w:szCs w:val="21"/>
        </w:rPr>
        <w:t xml:space="preserve">MODERADO (contínuo).  </w:t>
      </w:r>
      <w:r>
        <w:rPr>
          <w:sz w:val="21"/>
          <w:szCs w:val="21"/>
        </w:rPr>
        <w:t>Produto a emitir recomendações individualizadas pode resvalar para consulta jurídica reservada (Lei 10/2024).</w:t>
      </w:r>
    </w:p>
    <w:p>
      <w:pPr>
        <w:pStyle w:val="Normal"/>
        <w:spacing w:lineRule="auto" w:line="276" w:before="0" w:after="110"/>
        <w:rPr/>
      </w:pPr>
      <w:r>
        <w:rPr>
          <w:b/>
          <w:bCs/>
          <w:color w:val="1B6B33"/>
          <w:sz w:val="21"/>
          <w:szCs w:val="21"/>
        </w:rPr>
        <w:t xml:space="preserve">🟢 </w:t>
      </w:r>
      <w:r>
        <w:rPr>
          <w:b/>
          <w:bCs/>
          <w:color w:val="1B6B33"/>
          <w:sz w:val="21"/>
          <w:szCs w:val="21"/>
        </w:rPr>
        <w:t xml:space="preserve">ATENÇÃO.  </w:t>
      </w:r>
      <w:r>
        <w:rPr>
          <w:sz w:val="21"/>
          <w:szCs w:val="21"/>
        </w:rPr>
        <w:t>Registo de atividades (art. 30.º) em falta; possível DPIA por larga escala; conservação de 12 meses no limite superior; cláusula de limitação de responsabilidade provavelmente abusiva; volatilidade regulatória do próprio setor do AL.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🔎 </w:t>
      </w:r>
      <w:r>
        <w:rPr>
          <w:b/>
          <w:bCs/>
          <w:color w:val="1F3A5F"/>
          <w:sz w:val="27"/>
          <w:szCs w:val="27"/>
        </w:rPr>
        <w:t>Respostas às questões específicas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Limitação das finalidades e novo responsável (Q2)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Sendo um responsável novo que obtém dados de fonte pública, o eixo é ter base própria no art. 6.º + lealdade + expectativa razoável + art. 14.º. O teste de compatibilidade do art. 6.º/4 foi desenhado sobretudo para o responsável original; não vos isenta, mas a obrigação central é a base legal própria e a lealdade. Não se agarrem à ideia de que «não somos o Turismo de Portugal, logo o art. 5.º/1/b não nos apanha» — apanha, por via da lealdade.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Nota de informação — Anexo 1 (Q7)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Perto, mas incompleto. Faltam: categorias de dados tratados; identificação do EPD (se existir); categorias de destinatários/subcontratantes; transferências internacionais (se aplicável). E, crítico, a frase «público por imposição do art. 10.º» tem de ser verdadeira, senão sai. O timing (informar na 1.ª comunicação) está correto. Nenhuma isenção do art. 14.º/5 vos serve: como contactam diretamente, têm de informar nesse contacto.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Consentimento do funil — Anexo 2 (Q8)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Válido no essencial (não pré-preenchido, não condicionado ao relatório). Melhorar: separar «alertas do serviço» de «ofertas comerciais» (granularidade — a CNPD rejeita consentimentos globais para finalidades distintas); garantir identidade do responsável + link à política junto ao checkbox; guardar prova (log, versão do texto, nota informativa).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Prazo de conservação (Q9)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12 meses é defensável mas está no limite superior; para quem nunca interage, 6 meses é mais seguro. A lista de supressão de quem fez opt-out conserva-se separadamente e por mais tempo — é o que permite provar que a oposição é honrada.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Postura da CNPD e risco real (Q10)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As queixas por marketing não solicitado aumentaram muito, sobretudo de entidades com quem os titulares não têm relação; a CNPD emitiu diretriz para enquadrar como decidirá as contraordenações ao art. 13.º-A conjugado com o RGPD. Moldura: art. 83.º RGPD. Avaliação realista: atuação sobretudo por queixa; para PME cooperante em 1.ª infração, ordem de cessação + coima modesta é o desfecho típico — mas o canal email-a-singulares é o de maior exposição.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Atividade reservada (Q11)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Risco real. A Lei 10/2024 reserva a consulta jurídica a advogados e solicitadores. «Isto afeta o teu AL, recomendamos que faças X» é fronteiriço: informação genérica e monitorização de estado ficam do lado seguro; conclusões jurídicas individualizadas sobre a situação concreta do cliente, não. Manter linguagem condicional e genérica, incluir disclaimers («informação, não aconselhamento jurídico»), não redigir peças nem representar. Avaliação definitiva depende do exemplo de alerta (Anexo 3), ainda não fornecido.</w:t>
      </w:r>
    </w:p>
    <w:p>
      <w:pPr>
        <w:pStyle w:val="Heading2"/>
        <w:spacing w:before="220" w:after="100"/>
        <w:rPr/>
      </w:pPr>
      <w:r>
        <w:rPr>
          <w:b/>
          <w:bCs/>
          <w:color w:val="1F3A5F"/>
          <w:sz w:val="23"/>
          <w:szCs w:val="23"/>
        </w:rPr>
        <w:t>Limite de responsabilidade a 49 € (Q12)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A vossa leitura está certa. Num contrato de consumo, um teto de responsabilidade a 49 € é muito provavelmente abusivo (DL 446/85, arts. 18.º e 19.º; Lei 24/96; DL 84/2021) — não pode excluir dolo, negligência grave ou danos pessoais. A cláusula pode subsistir para a fatia validamente limitável (negligência leve, dano patrimonial, proporcional), mas a proteção real é o seguro de RC profissional + descrição honesta do serviço como ferramenta informativa, não garantia de conformidade.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🗓️ </w:t>
      </w:r>
      <w:r>
        <w:rPr>
          <w:b/>
          <w:bCs/>
          <w:color w:val="1F3A5F"/>
          <w:sz w:val="27"/>
          <w:szCs w:val="27"/>
        </w:rPr>
        <w:t>Plano de ação — próximas 4 semanas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Semana 1 — </w:t>
      </w:r>
      <w:r>
        <w:rPr>
          <w:sz w:val="21"/>
          <w:szCs w:val="21"/>
        </w:rPr>
        <w:t>resolver o pressuposto da fonte (o que é público e sob que base). Corrigir o Anexo 1. Montar o registo de atividades de tratamento (art. 30.º). Decidir sobre EPD.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Semana 2 — </w:t>
      </w:r>
      <w:r>
        <w:rPr>
          <w:sz w:val="21"/>
          <w:szCs w:val="21"/>
        </w:rPr>
        <w:t>finalizar o widget com Anexos 1 e 2 corrigidos, política de privacidade e mecanismo de prova de consentimento. Ligar o motor de consentimento.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Semana 3 — </w:t>
      </w:r>
      <w:r>
        <w:rPr>
          <w:sz w:val="21"/>
          <w:szCs w:val="21"/>
        </w:rPr>
        <w:t>contratos de subcontratação (art. 28.º) com todos os processadores; resolver transferências internacionais (email/IA fora do EEE); iniciar parcerias.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Semana 4 — </w:t>
      </w:r>
      <w:r>
        <w:rPr>
          <w:sz w:val="21"/>
          <w:szCs w:val="21"/>
        </w:rPr>
        <w:t>só então, se quiserem cold como acelerador: escrever a LIA e ligar apenas geral@ (opt-out) e/ou carta postal a singulares com nota art. 14.º. Email a singulares fica desligado.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🔮 </w:t>
      </w:r>
      <w:r>
        <w:rPr>
          <w:b/>
          <w:bCs/>
          <w:color w:val="1F3A5F"/>
          <w:sz w:val="27"/>
          <w:szCs w:val="27"/>
        </w:rPr>
        <w:t>Cenários a antecipar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Queixa à CNPD sobre email frio: </w:t>
      </w:r>
      <w:r>
        <w:rPr>
          <w:sz w:val="21"/>
          <w:szCs w:val="21"/>
        </w:rPr>
        <w:t>provável se o canal 5 for ligado. Preparar já a lista de supressão e a prova de opt-out/opt-in para demonstrar diligência.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Pedido de acesso/oposição (arts. 15.º/21.º): </w:t>
      </w:r>
      <w:r>
        <w:rPr>
          <w:sz w:val="21"/>
          <w:szCs w:val="21"/>
        </w:rPr>
        <w:t>a oposição a marketing é absoluta — o processo de cessação imediata tem de estar operacional desde o dia 1.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Alteração do regime do AL: </w:t>
      </w:r>
      <w:r>
        <w:rPr>
          <w:sz w:val="21"/>
          <w:szCs w:val="21"/>
        </w:rPr>
        <w:t>o setor mudou pelo DL 76/2024 e pode voltar a mudar; a fonte de dados e a proposta de valor do produto dependem de um quadro instável.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b/>
          <w:bCs/>
          <w:sz w:val="21"/>
          <w:szCs w:val="21"/>
        </w:rPr>
        <w:t xml:space="preserve">Fornecedor de IA/email fora do EEE: </w:t>
      </w:r>
      <w:r>
        <w:rPr>
          <w:sz w:val="21"/>
          <w:szCs w:val="21"/>
        </w:rPr>
        <w:t>nunca enviar dados pessoais de prospects para uma API de IA sem mecanismo de transferência resolvido.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❓ </w:t>
      </w:r>
      <w:r>
        <w:rPr>
          <w:b/>
          <w:bCs/>
          <w:color w:val="1F3A5F"/>
          <w:sz w:val="27"/>
          <w:szCs w:val="27"/>
        </w:rPr>
        <w:t>Questões a clarificar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sz w:val="21"/>
          <w:szCs w:val="21"/>
        </w:rPr>
        <w:t>1. Confirmação documental de que campos o RNAL publica e com que base legal (pressuposto crítico).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sz w:val="21"/>
          <w:szCs w:val="21"/>
        </w:rPr>
        <w:t>2. Exemplo real de alerta enviado ao cliente (Anexo 3), para fechar a análise da atividade reservada.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rPr/>
      </w:pPr>
      <w:r>
        <w:rPr>
          <w:sz w:val="21"/>
          <w:szCs w:val="21"/>
        </w:rPr>
        <w:t>3. Que fornecedores de email e de IA serão usados e onde estão sediados (para transferências internacionais e contratos art. 28.º).</w:t>
      </w:r>
    </w:p>
    <w:p>
      <w:pPr>
        <w:pStyle w:val="Normal"/>
        <w:pBdr>
          <w:bottom w:val="single" w:sz="6" w:space="1" w:color="AAB2BD"/>
        </w:pBdr>
        <w:spacing w:before="60" w:after="160"/>
        <w:rPr/>
      </w:pPr>
      <w:r>
        <w:rPr/>
      </w:r>
    </w:p>
    <w:p>
      <w:pPr>
        <w:pStyle w:val="Heading1"/>
        <w:spacing w:before="300" w:after="140"/>
        <w:rPr/>
      </w:pPr>
      <w:r>
        <w:rPr>
          <w:b/>
          <w:bCs/>
          <w:color w:val="1F3A5F"/>
          <w:sz w:val="27"/>
          <w:szCs w:val="27"/>
        </w:rPr>
        <w:t xml:space="preserve">📚 </w:t>
      </w:r>
      <w:r>
        <w:rPr>
          <w:b/>
          <w:bCs/>
          <w:color w:val="1F3A5F"/>
          <w:sz w:val="27"/>
          <w:szCs w:val="27"/>
        </w:rPr>
        <w:t>Ressalva</w:t>
      </w:r>
    </w:p>
    <w:p>
      <w:pPr>
        <w:pStyle w:val="Normal"/>
        <w:spacing w:lineRule="auto" w:line="276" w:before="0" w:after="120"/>
        <w:rPr/>
      </w:pPr>
      <w:r>
        <w:rPr>
          <w:i/>
          <w:iCs/>
          <w:sz w:val="21"/>
          <w:szCs w:val="21"/>
        </w:rPr>
        <w:t>Este documento constitui informação e análise jurídica de decisão, não um parecer formal assinado por advogado inscrito na Ordem. Três pontos exigem validação de advogado/EPD antes de produção: (i) a base legal da fonte do email; (ii) o mecanismo de transferência internacional para os fornecedores de email/IA; (iii) a fronteira da atividade reservada, à luz do Anexo 3. A afirmação de publicidade legal no Anexo 1 não deve ser publicada sem confirmação documental.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200" w:right="1200" w:gutter="0" w:header="0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AAB2BD"/>
      </w:pBdr>
      <w:jc w:val="center"/>
      <w:rPr/>
    </w:pPr>
    <w:r>
      <w:rPr>
        <w:color w:val="555555"/>
        <w:sz w:val="15"/>
        <w:szCs w:val="15"/>
      </w:rPr>
      <w:t xml:space="preserve">Parecer CheckAL · Cosmic Oasis, Lda. · Informação jurídica — não substitui aconselhamento formal    Pág. </w:t>
    </w:r>
    <w:r>
      <w:rPr>
        <w:i/>
        <w:iCs/>
        <w:sz w:val="21"/>
        <w:szCs w:val="21"/>
      </w:rPr>
      <w:fldChar w:fldCharType="begin"/>
    </w:r>
    <w:r>
      <w:rPr>
        <w:i/>
        <w:iCs/>
        <w:sz w:val="21"/>
        <w:szCs w:val="21"/>
      </w:rPr>
      <w:instrText xml:space="preserve"> PAGE </w:instrText>
    </w:r>
    <w:r>
      <w:rPr>
        <w:i/>
        <w:iCs/>
        <w:sz w:val="21"/>
        <w:szCs w:val="21"/>
      </w:rPr>
      <w:fldChar w:fldCharType="separate"/>
    </w:r>
    <w:r>
      <w:rPr>
        <w:i/>
        <w:iCs/>
        <w:sz w:val="21"/>
        <w:szCs w:val="21"/>
      </w:rPr>
      <w:t>5</w:t>
    </w:r>
    <w:r>
      <w:rPr>
        <w:i/>
        <w:iCs/>
        <w:sz w:val="21"/>
        <w:szCs w:val="21"/>
      </w:rPr>
      <w:fldChar w:fldCharType="end"/>
    </w:r>
    <w:r>
      <w:rPr/>
      <w:t>/</w:t>
    </w:r>
    <w:r>
      <w:rPr>
        <w:i/>
        <w:iCs/>
        <w:sz w:val="21"/>
        <w:szCs w:val="21"/>
      </w:rPr>
      <w:fldChar w:fldCharType="begin"/>
    </w:r>
    <w:r>
      <w:rPr>
        <w:i/>
        <w:iCs/>
        <w:sz w:val="21"/>
        <w:szCs w:val="21"/>
      </w:rPr>
      <w:instrText xml:space="preserve"> NUMPAGES </w:instrText>
    </w:r>
    <w:r>
      <w:rPr>
        <w:i/>
        <w:iCs/>
        <w:sz w:val="21"/>
        <w:szCs w:val="21"/>
      </w:rPr>
      <w:fldChar w:fldCharType="separate"/>
    </w:r>
    <w:r>
      <w:rPr>
        <w:i/>
        <w:iCs/>
        <w:sz w:val="21"/>
        <w:szCs w:val="21"/>
      </w:rPr>
      <w:t>5</w:t>
    </w:r>
    <w:r>
      <w:rPr>
        <w:i/>
        <w:iCs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AAB2BD"/>
      </w:pBdr>
      <w:jc w:val="center"/>
      <w:rPr/>
    </w:pPr>
    <w:r>
      <w:rPr>
        <w:color w:val="555555"/>
        <w:sz w:val="15"/>
        <w:szCs w:val="15"/>
      </w:rPr>
      <w:t xml:space="preserve">Parecer CheckAL · Cosmic Oasis, Lda. · Informação jurídica — não substitui aconselhamento formal    Pág. </w:t>
    </w:r>
    <w:r>
      <w:rPr>
        <w:i/>
        <w:iCs/>
        <w:sz w:val="21"/>
        <w:szCs w:val="21"/>
      </w:rPr>
      <w:fldChar w:fldCharType="begin"/>
    </w:r>
    <w:r>
      <w:rPr>
        <w:i/>
        <w:iCs/>
        <w:sz w:val="21"/>
        <w:szCs w:val="21"/>
      </w:rPr>
      <w:instrText xml:space="preserve"> PAGE </w:instrText>
    </w:r>
    <w:r>
      <w:rPr>
        <w:i/>
        <w:iCs/>
        <w:sz w:val="21"/>
        <w:szCs w:val="21"/>
      </w:rPr>
      <w:fldChar w:fldCharType="separate"/>
    </w:r>
    <w:r>
      <w:rPr>
        <w:i/>
        <w:iCs/>
        <w:sz w:val="21"/>
        <w:szCs w:val="21"/>
      </w:rPr>
      <w:t>5</w:t>
    </w:r>
    <w:r>
      <w:rPr>
        <w:i/>
        <w:iCs/>
        <w:sz w:val="21"/>
        <w:szCs w:val="21"/>
      </w:rPr>
      <w:fldChar w:fldCharType="end"/>
    </w:r>
    <w:r>
      <w:rPr/>
      <w:t>/</w:t>
    </w:r>
    <w:r>
      <w:rPr>
        <w:i/>
        <w:iCs/>
        <w:sz w:val="21"/>
        <w:szCs w:val="21"/>
      </w:rPr>
      <w:fldChar w:fldCharType="begin"/>
    </w:r>
    <w:r>
      <w:rPr>
        <w:i/>
        <w:iCs/>
        <w:sz w:val="21"/>
        <w:szCs w:val="21"/>
      </w:rPr>
      <w:instrText xml:space="preserve"> NUMPAGES </w:instrText>
    </w:r>
    <w:r>
      <w:rPr>
        <w:i/>
        <w:iCs/>
        <w:sz w:val="21"/>
        <w:szCs w:val="21"/>
      </w:rPr>
      <w:fldChar w:fldCharType="separate"/>
    </w:r>
    <w:r>
      <w:rPr>
        <w:i/>
        <w:iCs/>
        <w:sz w:val="21"/>
        <w:szCs w:val="21"/>
      </w:rPr>
      <w:t>5</w:t>
    </w:r>
    <w:r>
      <w:rPr>
        <w:i/>
        <w:iCs/>
        <w:sz w:val="21"/>
        <w:szCs w:val="21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22222"/>
        <w:sz w:val="21"/>
        <w:szCs w:val="21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1"/>
      <w:szCs w:val="21"/>
      <w:lang w:val="pt-PT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anotaderodap">
    <w:name w:val="Caracteres da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anotafinal">
    <w:name w:val="Caracteres da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222222"/>
      <w:kern w:val="0"/>
      <w:sz w:val="21"/>
      <w:szCs w:val="21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1"/>
      <w:szCs w:val="21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2139</Words>
  <Characters>11445</Characters>
  <CharactersWithSpaces>13518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2026-07-06T00:34:29Z</dcterms:created>
  <dc:creator>Consultor Jurídico</dc:creator>
  <dc:description/>
  <dc:language>pt-PT</dc:language>
  <cp:lastModifiedBy>Un-named</cp:lastModifiedBy>
  <dcterms:modified xsi:type="dcterms:W3CDTF">2026-07-06T00:34:29Z</dcterms:modified>
  <cp:revision>1</cp:revision>
  <dc:subject/>
  <dc:title>Parecer — Aquisição de clientes e RGPD — CheckAL</dc:title>
</cp:coreProperties>
</file>