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Referencias de los capítulos 5 a 9</w:t>
      </w:r>
    </w:p>
    <w:p>
      <w:pPr>
        <w:jc w:val="both"/>
      </w:pPr>
      <w:r>
        <w:t xml:space="preserve">La numeración sigue el orden en que aparece cada fuente en estos capítulos. Al unirlas con las referencias del TT1 hay que renumerar. Las fuentes marcadas "en inglés" son las que no tienen una versión en español que se haya podido verificar.</w:t>
      </w:r>
    </w:p>
    <w:p>
      <w:pPr>
        <w:jc w:val="both"/>
      </w:pPr>
      <w:r>
        <w:t xml:space="preserve">[1] K. Schwaber y J. Sutherland, "La Guía Scrum: la guía definitiva de Scrum, las reglas del juego," Scrum Guides, nov. 2020. [En línea]. Disponible en: https://scrumguides.org/docs/scrumguide/v2020/2020-Scrum-Guide-Spanish-Latin-South-American.pdf. Accedido: 13 oct. 2026.</w:t>
      </w:r>
    </w:p>
    <w:p>
      <w:pPr>
        <w:jc w:val="both"/>
      </w:pPr>
      <w:r>
        <w:t xml:space="preserve">[2] S. Chacon y B. Straub, </w:t>
      </w:r>
      <w:r>
        <w:rPr>
          <w:i/>
          <w:iCs/>
        </w:rPr>
        <w:t xml:space="preserve">Pro Git</w:t>
      </w:r>
      <w:r>
        <w:t xml:space="preserve">, 2.ª ed. Apress, 2014. [En línea]. Disponible en: https://git-scm.com/book/es/v2. Accedido: 13 oct. 2026.</w:t>
      </w:r>
    </w:p>
    <w:p>
      <w:pPr>
        <w:jc w:val="both"/>
      </w:pPr>
      <w:r>
        <w:rPr>
          <w:highlight w:val="yellow"/>
        </w:rPr>
        <w:t xml:space="preserve">[3] Instituto Nacional de Estadística y Geografía (INEGI), "Censos Económicos 2019: resultados," INEGI, México, 2019. [En línea]. Disponible en: https://www.inegi.org.mx/programas/ce/2019/. [CONFIRMAR enlace y fecha de acceso]</w:t>
      </w:r>
    </w:p>
    <w:p>
      <w:pPr>
        <w:jc w:val="both"/>
      </w:pPr>
      <w:r>
        <w:t xml:space="preserve">[4] Django Software Foundation, "Documentación de Django 5.2." [En línea]. Disponible en: https://docs.djangoproject.com/es/5.2/. Accedido: 13 oct. 2026.</w:t>
      </w:r>
    </w:p>
    <w:p>
      <w:pPr>
        <w:jc w:val="both"/>
      </w:pPr>
      <w:r>
        <w:rPr>
          <w:highlight w:val="yellow"/>
        </w:rPr>
        <w:t xml:space="preserve">[5] Congreso de la Unión, "Ley del Impuesto sobre la Renta, art. 113-E," Cámara de Diputados del H. Congreso de la Unión, México. [En línea]. Disponible en: https://www.diputados.gob.mx/LeyesBiblio/pdf/LISR.pdf. [CONFIRMAR texto vigente y fecha de acceso]</w:t>
      </w:r>
    </w:p>
    <w:p>
      <w:pPr>
        <w:jc w:val="both"/>
      </w:pPr>
      <w:r>
        <w:t xml:space="preserve">[6] Consejo Mexicano de Normas de Información Financiera (CINIF), "NIF C-4 Inventarios," en </w:t>
      </w:r>
      <w:r>
        <w:rPr>
          <w:i/>
          <w:iCs/>
        </w:rPr>
        <w:t xml:space="preserve">Normas de Información Financiera</w:t>
      </w:r>
      <w:r>
        <w:rPr>
          <w:highlight w:val="yellow"/>
        </w:rPr>
        <w:t xml:space="preserve">, México. [COMPLETAR edición y año de la versión vigente]</w:t>
      </w:r>
    </w:p>
    <w:p>
      <w:pPr>
        <w:jc w:val="both"/>
      </w:pPr>
      <w:r>
        <w:rPr>
          <w:highlight w:val="yellow"/>
        </w:rPr>
        <w:t xml:space="preserve">[7] statsmodels developers, "Time series analysis (tsa)," statsmodels, documentación (en inglés). [En línea]. Disponible en: https://www.statsmodels.org/stable/tsa.html. [CONFIRMAR enlace y fecha de acceso]</w:t>
      </w:r>
    </w:p>
    <w:p>
      <w:pPr>
        <w:jc w:val="both"/>
      </w:pPr>
      <w:r>
        <w:t xml:space="preserve">[8] R. J. Hyndman y G. Athanasopoulos, </w:t>
      </w:r>
      <w:r>
        <w:rPr>
          <w:i/>
          <w:iCs/>
        </w:rPr>
        <w:t xml:space="preserve">Forecasting: Principles and Practice</w:t>
      </w:r>
      <w:r>
        <w:rPr>
          <w:highlight w:val="yellow"/>
        </w:rPr>
        <w:t xml:space="preserve">, 3.ª ed. Melbourne, Australia: OTexts, 2021 (en inglés). [En línea]. Disponible en: https://otexts.com/fpp3/. [CONFIRMAR enlace y fecha de acceso]</w:t>
      </w:r>
    </w:p>
    <w:p>
      <w:pPr>
        <w:jc w:val="both"/>
      </w:pPr>
      <w:r>
        <w:t xml:space="preserve">[9] S. Russell y P. Norvig, </w:t>
      </w:r>
      <w:r>
        <w:rPr>
          <w:i/>
          <w:iCs/>
        </w:rPr>
        <w:t xml:space="preserve">Inteligencia artificial: un enfoque moderno</w:t>
      </w:r>
      <w:r>
        <w:t xml:space="preserve">, 2.ª ed. Madrid, España: Pearson Educación, 2004.</w:t>
      </w:r>
    </w:p>
    <w:p>
      <w:pPr>
        <w:jc w:val="both"/>
      </w:pPr>
      <w:r>
        <w:t xml:space="preserve">[10] Google, "Llamada a función con la API de Gemini," Google AI for Developers. [En línea]. Disponible en: https://ai.google.dev/gemini-api/docs/function-calling?hl=es-419. Accedido: 13 oct. 2026.</w:t>
      </w:r>
    </w:p>
    <w:p>
      <w:pPr>
        <w:jc w:val="both"/>
      </w:pPr>
      <w:r>
        <w:rPr>
          <w:highlight w:val="yellow"/>
        </w:rPr>
        <w:t xml:space="preserve">[11] OpenAI, "Function calling," OpenAI Platform Documentation (en inglés). [En línea]. Disponible en: https://platform.openai.com/docs/guides/function-calling. [CONFIRMAR enlace y fecha de acceso]</w:t>
      </w:r>
    </w:p>
    <w:p>
      <w:pPr>
        <w:jc w:val="both"/>
      </w:pPr>
      <w:r>
        <w:t xml:space="preserve">[12] Mozilla, "API Web de Voz," MDN Web Docs. [En línea]. Disponible en: https://developer.mozilla.org/es/docs/Web/API/Web_Speech_API. Accedido: 13 oct. 2026.</w:t>
      </w:r>
    </w:p>
    <w:p>
      <w:pPr>
        <w:jc w:val="both"/>
      </w:pPr>
      <w:r>
        <w:t xml:space="preserve">[13] Mozilla, "Service Worker API," MDN Web Docs. [En línea]. Disponible en: https://developer.mozilla.org/es/docs/Web/API/Service_Worker_API. Accedido: 13 oct. 2026.</w:t>
      </w:r>
    </w:p>
    <w:p>
      <w:pPr>
        <w:jc w:val="both"/>
      </w:pPr>
      <w:r>
        <w:t xml:space="preserve">[14] I. Sommerville, </w:t>
      </w:r>
      <w:r>
        <w:rPr>
          <w:i/>
          <w:iCs/>
        </w:rPr>
        <w:t xml:space="preserve">Ingeniería de software</w:t>
      </w:r>
      <w:r>
        <w:t xml:space="preserve">, 9.ª ed. México: Pearson Educación, 2011.</w:t>
      </w:r>
    </w:p>
    <w:p>
      <w:pPr>
        <w:jc w:val="both"/>
      </w:pPr>
      <w:r>
        <w:t xml:space="preserve">[15] J. Brooke, "SUS: a 'quick and dirty' usability scale," en </w:t>
      </w:r>
      <w:r>
        <w:rPr>
          <w:i/>
          <w:iCs/>
        </w:rPr>
        <w:t xml:space="preserve">Usability Evaluation in Industry</w:t>
      </w:r>
      <w:r>
        <w:t xml:space="preserve">, P. W. Jordan, B. Thomas, B. A. Weerdmeester e I. L. McClelland, Eds. Londres, Reino Unido: Taylor &amp; Francis, 1996, pp. 189-194 (en inglés).</w:t>
      </w:r>
    </w:p>
    <w:p>
      <w:pPr>
        <w:jc w:val="both"/>
      </w:pPr>
      <w:r>
        <w:t xml:space="preserve">[16] Red Hat, "Copia de seguridad de los datos de PostgreSQL," en </w:t>
      </w:r>
      <w:r>
        <w:rPr>
          <w:i/>
          <w:iCs/>
        </w:rPr>
        <w:t xml:space="preserve">Red Hat Enterprise Linux 8: implementación de diferentes tipos de servidores</w:t>
      </w:r>
      <w:r>
        <w:rPr>
          <w:highlight w:val="yellow"/>
        </w:rPr>
        <w:t xml:space="preserve">. [En línea]. Disponible en: https://docs.redhat.com/es/documentation/red_hat_enterprise_linux/8/html/deploying_different_types_of_servers/backing-up-postgresql-data_using-postgresql. [CONFIRMAR fecha de acceso]</w:t>
      </w:r>
    </w:p>
    <w:p>
      <w:pPr>
        <w:jc w:val="both"/>
      </w:pPr>
      <w:r>
        <w:t xml:space="preserve">[17] Congreso de la Unión, "Ley Federal de Protección de Datos Personales en Posesión de los Particulares," </w:t>
      </w:r>
      <w:r>
        <w:rPr>
          <w:i/>
          <w:iCs/>
        </w:rPr>
        <w:t xml:space="preserve">Diario Oficial de la Federación</w:t>
      </w:r>
      <w:r>
        <w:rPr>
          <w:highlight w:val="yellow"/>
        </w:rPr>
        <w:t xml:space="preserve">, México, 20 de marzo de 2025. [COMPLETAR enlace al texto publicado]</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