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3474720" cy="568229"/>
            <wp:docPr id="1" name="Picture 1"/>
            <wp:cNvGraphicFramePr>
              <a:graphicFrameLocks noChangeAspect="1"/>
            </wp:cNvGraphicFramePr>
            <a:graphic>
              <a:graphicData uri="http://schemas.openxmlformats.org/drawingml/2006/picture">
                <pic:pic>
                  <pic:nvPicPr>
                    <pic:cNvPr id="0" name="pageHeaderLogoImage_en.png"/>
                    <pic:cNvPicPr/>
                  </pic:nvPicPr>
                  <pic:blipFill>
                    <a:blip r:embed="rId11"/>
                    <a:stretch>
                      <a:fillRect/>
                    </a:stretch>
                  </pic:blipFill>
                  <pic:spPr>
                    <a:xfrm>
                      <a:off x="0" y="0"/>
                      <a:ext cx="3474720" cy="568229"/>
                    </a:xfrm>
                    <a:prstGeom prst="rect"/>
                  </pic:spPr>
                </pic:pic>
              </a:graphicData>
            </a:graphic>
          </wp:inline>
        </w:drawing>
      </w:r>
    </w:p>
    <w:tbl>
      <w:tblPr>
        <w:tblW w:type="auto" w:w="0"/>
        <w:jc w:val="center"/>
        <w:tblLook w:firstColumn="1" w:firstRow="1" w:lastColumn="0" w:lastRow="0" w:noHBand="0" w:noVBand="1" w:val="04A0"/>
      </w:tblPr>
      <w:tblGrid>
        <w:gridCol w:w="9605"/>
      </w:tblGrid>
      <w:tr>
        <w:tc>
          <w:tcPr>
            <w:tcW w:type="dxa" w:w="9605"/>
            <w:shd w:fill="002B49"/>
            <w:tcMar>
              <w:top w:w="10" w:type="dxa"/>
              <w:bottom w:w="10" w:type="dxa"/>
              <w:left w:w="0" w:type="dxa"/>
              <w:right w:w="0" w:type="dxa"/>
            </w:tcMar>
          </w:tcPr>
          <w:p>
            <w:pPr>
              <w:spacing w:before="0" w:after="0"/>
            </w:pPr>
            <w:r>
              <w:rPr>
                <w:sz w:val="3"/>
              </w:rPr>
            </w:r>
          </w:p>
        </w:tc>
      </w:tr>
    </w:tbl>
    <w:p>
      <w:pPr>
        <w:spacing w:before="200" w:after="40"/>
      </w:pPr>
      <w:r>
        <w:rPr>
          <w:rFonts w:ascii="Georgia" w:hAnsi="Georgia"/>
          <w:b/>
          <w:color w:val="002B49"/>
          <w:sz w:val="36"/>
        </w:rPr>
        <w:t>Technical Design Document (TDD)</w:t>
      </w:r>
    </w:p>
    <w:p>
      <w:pPr>
        <w:spacing w:before="20" w:after="200"/>
      </w:pPr>
      <w:r>
        <w:rPr>
          <w:rFonts w:ascii="Georgia" w:hAnsi="Georgia"/>
          <w:i/>
          <w:color w:val="D4A017"/>
          <w:sz w:val="22"/>
        </w:rPr>
        <w:t>Editorial Manager® Peer Review Portal &amp; OJS 3.4 Integration</w:t>
      </w:r>
    </w:p>
    <w:tbl>
      <w:tblPr>
        <w:tblW w:type="auto" w:w="0"/>
        <w:jc w:val="center"/>
        <w:tblLayout w:type="fixed"/>
        <w:tblLook w:firstColumn="1" w:firstRow="1" w:lastColumn="0" w:lastRow="0" w:noHBand="0" w:noVBand="1" w:val="04A0"/>
      </w:tblPr>
      <w:tblGrid>
        <w:gridCol w:w="2880"/>
        <w:gridCol w:w="6624"/>
      </w:tblGrid>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Document Version:</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1.0.0 (Official Institutional Release)</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Author / Architect:</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Darryl M. Nuyda (Manusci / Davao Research Journal Tech Lead)</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System Target:</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Davao Research Journal (davaoresearchjournal.ph / review.davaoresearchjournal.ph)</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Core Architecture: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DRJ Adaptive Reactive Workstation Core (ARWC), TypeScript, Open Journal Systems (OJS 3.4.0-7), PHP 8.2, MySQL 8.0, Resend SMTP Relay.</w:t>
            </w:r>
          </w:p>
        </w:tc>
      </w:tr>
      <w:tr>
        <w:tc>
          <w:tcPr>
            <w:tcW w:type="dxa" w:w="4802"/>
            <w:shd w:fill="F8FAFC"/>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b/>
                <w:color w:val="002B49"/>
                <w:sz w:val="18"/>
              </w:rPr>
              <w:t>License:</w:t>
            </w:r>
          </w:p>
        </w:tc>
        <w:tc>
          <w:tcPr>
            <w:tcW w:type="dxa" w:w="4802"/>
            <w:shd w:fill="FFFFFF"/>
            <w:tcMar>
              <w:top w:w="50" w:type="dxa"/>
              <w:bottom w:w="50" w:type="dxa"/>
              <w:left w:w="90" w:type="dxa"/>
              <w:right w:w="90" w:type="dxa"/>
            </w:tcMar>
            <w:tcBorders>
              <w:top w:val="none"/>
              <w:bottom w:val="single" w:sz="4" w:space="0" w:color="E2E8F0"/>
              <w:left w:val="none"/>
              <w:right w:val="none"/>
            </w:tcBorders>
          </w:tcPr>
          <w:p>
            <w:pPr>
              <w:spacing w:after="0"/>
            </w:pPr>
            <w:r>
              <w:rPr>
                <w:rFonts w:ascii="Calibri" w:hAnsi="Calibri"/>
                <w:color w:val="1E293B"/>
                <w:sz w:val="18"/>
              </w:rPr>
              <w:t>GNU General Public License v3.0 (GPLv3)</w:t>
            </w:r>
          </w:p>
        </w:tc>
      </w:tr>
    </w:tbl>
    <w:p>
      <w:pPr>
        <w:spacing w:before="80" w:after="80"/>
      </w:pPr>
    </w:p>
    <w:p>
      <w:pPr>
        <w:keepNext/>
        <w:spacing w:before="360" w:after="120"/>
      </w:pPr>
      <w:r>
        <w:rPr>
          <w:rFonts w:ascii="Georgia" w:hAnsi="Georgia"/>
          <w:b/>
          <w:color w:val="002B49"/>
          <w:sz w:val="28"/>
        </w:rPr>
        <w:t>1. Executive Summary &amp; Problem Statement</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keepNext/>
        <w:spacing w:before="280" w:after="80"/>
      </w:pPr>
      <w:r>
        <w:rPr>
          <w:rFonts w:ascii="Georgia" w:hAnsi="Georgia"/>
          <w:b/>
          <w:color w:val="002B49"/>
          <w:sz w:val="24"/>
        </w:rPr>
        <w:t>1.1 Background</w:t>
      </w:r>
    </w:p>
    <w:p>
      <w:pPr>
        <w:spacing w:before="0" w:after="120" w:line="276" w:lineRule="auto"/>
      </w:pPr>
      <w:r>
        <w:rPr>
          <w:rFonts w:ascii="Calibri" w:hAnsi="Calibri"/>
          <w:color w:val="1E293B"/>
          <w:sz w:val="20"/>
        </w:rPr>
        <w:t>The standard Open Journal Systems (OJS) 3.4 reviewer workflow requires external reviewers to navigate a multi-step login portal, remember credentials, and submit evaluations in standard form pages with separate tabs for viewing submissions. For busy academic reviewers, this creates significant friction, causing delayed evaluations, unaccepted invitations, and high cognitive load.</w:t>
      </w:r>
    </w:p>
    <w:p>
      <w:pPr>
        <w:keepNext/>
        <w:spacing w:before="280" w:after="80"/>
      </w:pPr>
      <w:r>
        <w:rPr>
          <w:rFonts w:ascii="Georgia" w:hAnsi="Georgia"/>
          <w:b/>
          <w:color w:val="002B49"/>
          <w:sz w:val="24"/>
        </w:rPr>
        <w:t>1.2 The Solution</w:t>
      </w:r>
    </w:p>
    <w:p>
      <w:pPr>
        <w:spacing w:before="0" w:after="120" w:line="276" w:lineRule="auto"/>
      </w:pPr>
      <w:r>
        <w:rPr>
          <w:rFonts w:ascii="Calibri" w:hAnsi="Calibri"/>
          <w:color w:val="1E293B"/>
          <w:sz w:val="20"/>
        </w:rPr>
        <w:t xml:space="preserve">The </w:t>
      </w:r>
      <w:r>
        <w:rPr>
          <w:rFonts w:ascii="Calibri" w:hAnsi="Calibri"/>
          <w:b/>
          <w:color w:val="002B49"/>
          <w:sz w:val="20"/>
        </w:rPr>
        <w:t>Editorial Manager® Peer Review Portal</w:t>
      </w:r>
      <w:r>
        <w:rPr>
          <w:rFonts w:ascii="Calibri" w:hAnsi="Calibri"/>
          <w:color w:val="1E293B"/>
          <w:sz w:val="20"/>
        </w:rPr>
        <w:t xml:space="preserve"> is a decoupled, modern Single Page Application (SPA) styled after commercial enterprise systems (Aries Editorial Manager® and Elsevier EM). It operates on a dedicated subdomain (</w:t>
      </w:r>
      <w:r>
        <w:rPr>
          <w:rFonts w:ascii="Consolas" w:hAnsi="Consolas"/>
          <w:color w:val="0F172A"/>
          <w:sz w:val="19"/>
        </w:rPr>
        <w:t>review.davaoresearchjournal.ph</w:t>
      </w:r>
      <w:r>
        <w:rPr>
          <w:rFonts w:ascii="Calibri" w:hAnsi="Calibri"/>
          <w:color w:val="1E293B"/>
          <w:sz w:val="20"/>
        </w:rPr>
        <w:t>), connects directly to the live OJS 3.4 database and file storage, and enforces a zero-trust multi-gate security architecture.</w:t>
      </w:r>
    </w:p>
    <w:p>
      <w:pPr>
        <w:keepNext/>
        <w:spacing w:before="360" w:after="120"/>
      </w:pPr>
      <w:r>
        <w:rPr>
          <w:rFonts w:ascii="Georgia" w:hAnsi="Georgia"/>
          <w:b/>
          <w:color w:val="002B49"/>
          <w:sz w:val="28"/>
        </w:rPr>
        <w:t>2. High-Level System Architecture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The ecosystem consists of four interconnected tiers:</w:t>
      </w:r>
    </w:p>
    <w:p>
      <w:pPr>
        <w:spacing w:before="0" w:after="60"/>
        <w:ind w:left="360"/>
      </w:pPr>
      <w:r>
        <w:rPr>
          <w:rFonts w:ascii="Calibri" w:hAnsi="Calibri"/>
          <w:b/>
          <w:color w:val="002B49"/>
          <w:sz w:val="20"/>
        </w:rPr>
        <w:t xml:space="preserve">1. </w:t>
      </w:r>
      <w:r>
        <w:rPr>
          <w:rFonts w:ascii="Calibri" w:hAnsi="Calibri"/>
          <w:b/>
          <w:color w:val="002B49"/>
          <w:sz w:val="20"/>
        </w:rPr>
        <w:t>Frontend Presentation Tier (Client):</w:t>
      </w:r>
      <w:r>
        <w:rPr>
          <w:rFonts w:ascii="Calibri" w:hAnsi="Calibri"/>
          <w:color w:val="1E293B"/>
          <w:sz w:val="20"/>
        </w:rPr>
        <w:t xml:space="preserve"> DRJ Adaptive Reactive Workstation Core (ARWC) featuring drag-resizable split panes, reactive scoring rubrics, and three security gates.</w:t>
      </w:r>
    </w:p>
    <w:p>
      <w:pPr>
        <w:spacing w:before="0" w:after="60"/>
        <w:ind w:left="360"/>
      </w:pPr>
      <w:r>
        <w:rPr>
          <w:rFonts w:ascii="Calibri" w:hAnsi="Calibri"/>
          <w:b/>
          <w:color w:val="002B49"/>
          <w:sz w:val="20"/>
        </w:rPr>
        <w:t xml:space="preserve">2. </w:t>
      </w:r>
      <w:r>
        <w:rPr>
          <w:rFonts w:ascii="Calibri" w:hAnsi="Calibri"/>
          <w:b/>
          <w:color w:val="002B49"/>
          <w:sz w:val="20"/>
        </w:rPr>
        <w:t>Security &amp; Routing Tier:</w:t>
      </w:r>
      <w:r>
        <w:rPr>
          <w:rFonts w:ascii="Calibri" w:hAnsi="Calibri"/>
          <w:color w:val="1E293B"/>
          <w:sz w:val="20"/>
        </w:rPr>
        <w:t xml:space="preserve"> Nginx web server handling subdomain routing, TLS termination, and frame-0 solid background enforcement.</w:t>
      </w:r>
    </w:p>
    <w:p>
      <w:pPr>
        <w:spacing w:before="0" w:after="60"/>
        <w:ind w:left="360"/>
      </w:pPr>
      <w:r>
        <w:rPr>
          <w:rFonts w:ascii="Calibri" w:hAnsi="Calibri"/>
          <w:b/>
          <w:color w:val="002B49"/>
          <w:sz w:val="20"/>
        </w:rPr>
        <w:t xml:space="preserve">3. </w:t>
      </w:r>
      <w:r>
        <w:rPr>
          <w:rFonts w:ascii="Calibri" w:hAnsi="Calibri"/>
          <w:b/>
          <w:color w:val="002B49"/>
          <w:sz w:val="20"/>
        </w:rPr>
        <w:t>API &amp; Business Logic Gateway:</w:t>
      </w:r>
      <w:r>
        <w:rPr>
          <w:rFonts w:ascii="Calibri" w:hAnsi="Calibri"/>
          <w:color w:val="1E293B"/>
          <w:sz w:val="20"/>
        </w:rPr>
        <w:t xml:space="preserve"> Lightweight, high-throughput PHP 8.2 REST API (</w:t>
      </w:r>
      <w:r>
        <w:rPr>
          <w:rFonts w:ascii="Consolas" w:hAnsi="Consolas"/>
          <w:color w:val="0F172A"/>
          <w:sz w:val="19"/>
        </w:rPr>
        <w:t>api.php</w:t>
      </w:r>
      <w:r>
        <w:rPr>
          <w:rFonts w:ascii="Calibri" w:hAnsi="Calibri"/>
          <w:color w:val="1E293B"/>
          <w:sz w:val="20"/>
        </w:rPr>
        <w:t>) enforcing HMAC-SHA256 signature validation and payload sanitization.</w:t>
      </w:r>
    </w:p>
    <w:p>
      <w:pPr>
        <w:spacing w:before="0" w:after="60"/>
        <w:ind w:left="360"/>
      </w:pPr>
      <w:r>
        <w:rPr>
          <w:rFonts w:ascii="Calibri" w:hAnsi="Calibri"/>
          <w:b/>
          <w:color w:val="002B49"/>
          <w:sz w:val="20"/>
        </w:rPr>
        <w:t xml:space="preserve">4. </w:t>
      </w:r>
      <w:r>
        <w:rPr>
          <w:rFonts w:ascii="Calibri" w:hAnsi="Calibri"/>
          <w:b/>
          <w:color w:val="002B49"/>
          <w:sz w:val="20"/>
        </w:rPr>
        <w:t>Data &amp; Storage Tier:</w:t>
      </w:r>
      <w:r>
        <w:rPr>
          <w:rFonts w:ascii="Calibri" w:hAnsi="Calibri"/>
          <w:color w:val="1E293B"/>
          <w:sz w:val="20"/>
        </w:rPr>
        <w:t xml:space="preserve"> OJS 3.4 core database (</w:t>
      </w:r>
      <w:r>
        <w:rPr>
          <w:rFonts w:ascii="Consolas" w:hAnsi="Consolas"/>
          <w:color w:val="0F172A"/>
          <w:sz w:val="19"/>
        </w:rPr>
        <w:t>drj2024_35beta</w:t>
      </w:r>
      <w:r>
        <w:rPr>
          <w:rFonts w:ascii="Calibri" w:hAnsi="Calibri"/>
          <w:color w:val="1E293B"/>
          <w:sz w:val="20"/>
        </w:rPr>
        <w:t>), local file storage repository (</w:t>
      </w:r>
      <w:r>
        <w:rPr>
          <w:rFonts w:ascii="Consolas" w:hAnsi="Consolas"/>
          <w:color w:val="0F172A"/>
          <w:sz w:val="19"/>
        </w:rPr>
        <w:t>/home/drj2024/files/</w:t>
      </w:r>
      <w:r>
        <w:rPr>
          <w:rFonts w:ascii="Calibri" w:hAnsi="Calibri"/>
          <w:color w:val="1E293B"/>
          <w:sz w:val="20"/>
        </w:rPr>
        <w:t>), and Resend SMTP Relay (Port 465 SSL).</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728"/>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Tier</w:t>
            </w:r>
          </w:p>
        </w:tc>
        <w:tc>
          <w:tcPr>
            <w:tcW w:type="dxa" w:w="230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Component Name</w:t>
            </w:r>
          </w:p>
        </w:tc>
        <w:tc>
          <w:tcPr>
            <w:tcW w:type="dxa" w:w="201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Technology Stack</w:t>
            </w:r>
          </w:p>
        </w:tc>
        <w:tc>
          <w:tcPr>
            <w:tcW w:type="dxa" w:w="3456"/>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Role &amp; Functionality</w:t>
            </w:r>
          </w:p>
        </w:tc>
      </w:tr>
      <w:tr>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Presentation</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Workstation</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 ARWC, TypeScript</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Dual-pane manuscript viewer, criteria rubric scoring, auto-save.</w:t>
            </w:r>
          </w:p>
        </w:tc>
      </w:tr>
      <w:tr>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Security / Gate</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Triple Gate Controller</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Client &amp; Server Enforcer</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Device Gate (&lt;1024px), Direct Access Gate, Email Challenge.</w:t>
            </w:r>
          </w:p>
        </w:tc>
      </w:tr>
      <w:tr>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API Gateway</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api.php</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8.2, PDO, JSON</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HMAC verification, file streaming, draft JSON caching, atomic OJS writes.</w:t>
            </w:r>
          </w:p>
        </w:tc>
      </w:tr>
      <w:tr>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Core Publishing</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OJS 3.4 Core</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PHP, Laravel, Smarty</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Author wizard, editorial cockpit, review assignment scheduler.</w:t>
            </w:r>
          </w:p>
        </w:tc>
      </w:tr>
      <w:tr>
        <w:tc>
          <w:tcPr>
            <w:tcW w:type="dxa" w:w="1728"/>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Database</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drj2024_35beta</w:t>
            </w:r>
          </w:p>
        </w:tc>
        <w:tc>
          <w:tcPr>
            <w:tcW w:type="dxa" w:w="201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MySQL 8.0 / MariaDB</w:t>
            </w:r>
          </w:p>
        </w:tc>
        <w:tc>
          <w:tcPr>
            <w:tcW w:type="dxa" w:w="3456"/>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review_assignments, submission_comments, journal_settings.</w:t>
            </w:r>
          </w:p>
        </w:tc>
      </w:tr>
      <w:tr>
        <w:tc>
          <w:tcPr>
            <w:tcW w:type="dxa" w:w="1728"/>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Email Relay</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Resend SMTP</w:t>
            </w:r>
          </w:p>
        </w:tc>
        <w:tc>
          <w:tcPr>
            <w:tcW w:type="dxa" w:w="201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TLS Port 465 SSL</w:t>
            </w:r>
          </w:p>
        </w:tc>
        <w:tc>
          <w:tcPr>
            <w:tcW w:type="dxa" w:w="3456"/>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High-deliverability transactional review invitation email routing.</w:t>
            </w:r>
          </w:p>
        </w:tc>
      </w:tr>
    </w:tbl>
    <w:p>
      <w:pPr>
        <w:spacing w:after="120"/>
      </w:pPr>
    </w:p>
    <w:p>
      <w:pPr>
        <w:keepNext/>
        <w:spacing w:before="360" w:after="120"/>
      </w:pPr>
      <w:r>
        <w:rPr>
          <w:rFonts w:ascii="Georgia" w:hAnsi="Georgia"/>
          <w:b/>
          <w:color w:val="002B49"/>
          <w:sz w:val="28"/>
        </w:rPr>
        <w:t>3. Triple-Gate Security Protocol</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To ensure confidential, unpublished scientific manuscripts are protected against unauthorized access, URL scraping, and premature phone submissions, three sequential gates must be passed:</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16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Security Gate</w:t>
            </w:r>
          </w:p>
        </w:tc>
        <w:tc>
          <w:tcPr>
            <w:tcW w:type="dxa" w:w="216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Trigger Condition</w:t>
            </w:r>
          </w:p>
        </w:tc>
        <w:tc>
          <w:tcPr>
            <w:tcW w:type="dxa" w:w="230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Enforcement Mechanism</w:t>
            </w:r>
          </w:p>
        </w:tc>
        <w:tc>
          <w:tcPr>
            <w:tcW w:type="dxa" w:w="288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Outcome / Fallback</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1: Device Resolution Gate</w:t>
            </w:r>
          </w:p>
        </w:tc>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Screen width &lt; 1024px (Smartphones / small devices)</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Client-side viewport inspection (navigator.userAgent &amp; innerWidth)</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Full-screen lock screen displayed; provides 1-click clipboard copy button to open on desktop.</w:t>
            </w:r>
          </w:p>
        </w:tc>
      </w:tr>
      <w:tr>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2: Direct Access Gate</w:t>
            </w:r>
          </w:p>
        </w:tc>
        <w:tc>
          <w:tcPr>
            <w:tcW w:type="dxa" w:w="216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Missing or invalid reviewId / token URL parameters</w:t>
            </w:r>
          </w:p>
        </w:tc>
        <w:tc>
          <w:tcPr>
            <w:tcW w:type="dxa" w:w="230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Frame-0 solid #00172B backdrop masking workspace layout in DOM</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Invitation Required lock screen; blocks URL guessing; zero template leakage.</w:t>
            </w:r>
          </w:p>
        </w:tc>
      </w:tr>
      <w:tr>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3: Email Identity Challenge</w:t>
            </w:r>
          </w:p>
        </w:tc>
        <w:tc>
          <w:tcPr>
            <w:tcW w:type="dxa" w:w="216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Unverified session / email verification challenge</w:t>
            </w:r>
          </w:p>
        </w:tc>
        <w:tc>
          <w:tcPr>
            <w:tcW w:type="dxa" w:w="230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HMAC-SHA256 token matching + reviewer email challenge challenge</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Reviewer must input invited email address matching database record to unlock manuscript files.</w:t>
            </w:r>
          </w:p>
        </w:tc>
      </w:tr>
    </w:tbl>
    <w:p>
      <w:pPr>
        <w:spacing w:after="120"/>
      </w:pPr>
    </w:p>
    <w:p>
      <w:pPr>
        <w:keepNext/>
        <w:spacing w:before="280" w:after="80"/>
      </w:pPr>
      <w:r>
        <w:rPr>
          <w:rFonts w:ascii="Georgia" w:hAnsi="Georgia"/>
          <w:b/>
          <w:color w:val="002B49"/>
          <w:sz w:val="24"/>
        </w:rPr>
        <w:t>3.1 Cryptographic Token Specification</w:t>
      </w:r>
    </w:p>
    <w:p>
      <w:pPr>
        <w:pStyle w:val="ListBullet"/>
        <w:spacing w:before="0" w:after="60"/>
        <w:ind w:left="360"/>
      </w:pPr>
      <w:r>
        <w:rPr>
          <w:rFonts w:ascii="Calibri" w:hAnsi="Calibri"/>
          <w:b/>
          <w:color w:val="002B49"/>
          <w:sz w:val="20"/>
        </w:rPr>
        <w:t>Algorithm:</w:t>
      </w:r>
      <w:r>
        <w:rPr>
          <w:rFonts w:ascii="Calibri" w:hAnsi="Calibri"/>
          <w:color w:val="1E293B"/>
          <w:sz w:val="20"/>
        </w:rPr>
        <w:t xml:space="preserve"> HMAC-SHA256</w:t>
      </w:r>
    </w:p>
    <w:p>
      <w:pPr>
        <w:pStyle w:val="ListBullet"/>
        <w:spacing w:before="0" w:after="60"/>
        <w:ind w:left="360"/>
      </w:pPr>
      <w:r>
        <w:rPr>
          <w:rFonts w:ascii="Calibri" w:hAnsi="Calibri"/>
          <w:b/>
          <w:color w:val="002B49"/>
          <w:sz w:val="20"/>
        </w:rPr>
        <w:t>Key Derivation:</w:t>
      </w:r>
      <w:r>
        <w:rPr>
          <w:rFonts w:ascii="Calibri" w:hAnsi="Calibri"/>
          <w:color w:val="1E293B"/>
          <w:sz w:val="20"/>
        </w:rPr>
        <w:t xml:space="preserve"> Server salt derived from OJS </w:t>
      </w:r>
      <w:r>
        <w:rPr>
          <w:rFonts w:ascii="Consolas" w:hAnsi="Consolas"/>
          <w:color w:val="0F172A"/>
          <w:sz w:val="19"/>
        </w:rPr>
        <w:t>config.inc.php</w:t>
      </w:r>
      <w:r>
        <w:rPr>
          <w:rFonts w:ascii="Calibri" w:hAnsi="Calibri"/>
          <w:color w:val="1E293B"/>
          <w:sz w:val="20"/>
        </w:rPr>
        <w:t xml:space="preserve"> secret key + application namespace.</w:t>
      </w:r>
    </w:p>
    <w:p>
      <w:pPr>
        <w:pStyle w:val="ListBullet"/>
        <w:spacing w:before="0" w:after="60"/>
        <w:ind w:left="360"/>
      </w:pPr>
      <w:r>
        <w:rPr>
          <w:rFonts w:ascii="Calibri" w:hAnsi="Calibri"/>
          <w:b/>
          <w:color w:val="002B49"/>
          <w:sz w:val="20"/>
        </w:rPr>
        <w:t>Payload String:</w:t>
      </w:r>
      <w:r>
        <w:rPr>
          <w:rFonts w:ascii="Calibri" w:hAnsi="Calibri"/>
          <w:color w:val="1E293B"/>
          <w:sz w:val="20"/>
        </w:rPr>
        <w:t xml:space="preserve"> </w:t>
      </w:r>
      <w:r>
        <w:rPr>
          <w:rFonts w:ascii="Consolas" w:hAnsi="Consolas"/>
          <w:color w:val="0F172A"/>
          <w:sz w:val="19"/>
        </w:rPr>
        <w:t>{$review_id}|{$date_assigned}</w:t>
      </w:r>
    </w:p>
    <w:p>
      <w:pPr>
        <w:pStyle w:val="ListBullet"/>
        <w:spacing w:before="0" w:after="60"/>
        <w:ind w:left="360"/>
      </w:pPr>
      <w:r>
        <w:rPr>
          <w:rFonts w:ascii="Calibri" w:hAnsi="Calibri"/>
          <w:b/>
          <w:color w:val="002B49"/>
          <w:sz w:val="20"/>
        </w:rPr>
        <w:t>Signature Output:</w:t>
      </w:r>
      <w:r>
        <w:rPr>
          <w:rFonts w:ascii="Calibri" w:hAnsi="Calibri"/>
          <w:color w:val="1E293B"/>
          <w:sz w:val="20"/>
        </w:rPr>
        <w:t xml:space="preserve"> 64-character lowercase hexadecimal hash.</w:t>
      </w:r>
    </w:p>
    <w:p>
      <w:pPr>
        <w:pStyle w:val="ListBullet"/>
        <w:spacing w:before="0" w:after="60"/>
        <w:ind w:left="360"/>
      </w:pPr>
      <w:r>
        <w:rPr>
          <w:rFonts w:ascii="Calibri" w:hAnsi="Calibri"/>
          <w:b/>
          <w:color w:val="002B49"/>
          <w:sz w:val="20"/>
        </w:rPr>
        <w:t>Properties:</w:t>
      </w:r>
      <w:r>
        <w:rPr>
          <w:rFonts w:ascii="Calibri" w:hAnsi="Calibri"/>
          <w:color w:val="1E293B"/>
          <w:sz w:val="20"/>
        </w:rPr>
        <w:t xml:space="preserve"> Tamper-proof; invalidating either the </w:t>
      </w:r>
      <w:r>
        <w:rPr>
          <w:rFonts w:ascii="Consolas" w:hAnsi="Consolas"/>
          <w:color w:val="0F172A"/>
          <w:sz w:val="19"/>
        </w:rPr>
        <w:t>review_id</w:t>
      </w:r>
      <w:r>
        <w:rPr>
          <w:rFonts w:ascii="Calibri" w:hAnsi="Calibri"/>
          <w:color w:val="1E293B"/>
          <w:sz w:val="20"/>
        </w:rPr>
        <w:t xml:space="preserve"> or reassignment timestamp automatically revokes the token.</w:t>
      </w:r>
    </w:p>
    <w:p>
      <w:pPr>
        <w:keepNext/>
        <w:spacing w:before="360" w:after="120"/>
      </w:pPr>
      <w:r>
        <w:rPr>
          <w:rFonts w:ascii="Georgia" w:hAnsi="Georgia"/>
          <w:b/>
          <w:color w:val="002B49"/>
          <w:sz w:val="28"/>
        </w:rPr>
        <w:t>4. Split-Screen Workspace &amp; Reactive Scoring Engine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keepNext/>
        <w:spacing w:before="280" w:after="80"/>
      </w:pPr>
      <w:r>
        <w:rPr>
          <w:rFonts w:ascii="Georgia" w:hAnsi="Georgia"/>
          <w:b/>
          <w:color w:val="002B49"/>
          <w:sz w:val="24"/>
        </w:rPr>
        <w:t>4.1 Component Breakdown</w:t>
      </w:r>
    </w:p>
    <w:p>
      <w:pPr>
        <w:pStyle w:val="ListBullet"/>
        <w:spacing w:before="0" w:after="60"/>
        <w:ind w:left="360"/>
      </w:pPr>
      <w:r>
        <w:rPr>
          <w:rFonts w:ascii="Calibri" w:hAnsi="Calibri"/>
          <w:b/>
          <w:color w:val="002B49"/>
          <w:sz w:val="20"/>
        </w:rPr>
        <w:t>`App.vue`:</w:t>
      </w:r>
      <w:r>
        <w:rPr>
          <w:rFonts w:ascii="Calibri" w:hAnsi="Calibri"/>
          <w:color w:val="1E293B"/>
          <w:sz w:val="20"/>
        </w:rPr>
        <w:t xml:space="preserve"> Root orchestrator. Controls dynamic layout switching (</w:t>
      </w:r>
      <w:r>
        <w:rPr>
          <w:rFonts w:ascii="Consolas" w:hAnsi="Consolas"/>
          <w:color w:val="0F172A"/>
          <w:sz w:val="19"/>
        </w:rPr>
        <w:t>split</w:t>
      </w:r>
      <w:r>
        <w:rPr>
          <w:rFonts w:ascii="Calibri" w:hAnsi="Calibri"/>
          <w:color w:val="1E293B"/>
          <w:sz w:val="20"/>
        </w:rPr>
        <w:t xml:space="preserve">, </w:t>
      </w:r>
      <w:r>
        <w:rPr>
          <w:rFonts w:ascii="Consolas" w:hAnsi="Consolas"/>
          <w:color w:val="0F172A"/>
          <w:sz w:val="19"/>
        </w:rPr>
        <w:t>manuscript</w:t>
      </w:r>
      <w:r>
        <w:rPr>
          <w:rFonts w:ascii="Calibri" w:hAnsi="Calibri"/>
          <w:color w:val="1E293B"/>
          <w:sz w:val="20"/>
        </w:rPr>
        <w:t xml:space="preserve">, </w:t>
      </w:r>
      <w:r>
        <w:rPr>
          <w:rFonts w:ascii="Consolas" w:hAnsi="Consolas"/>
          <w:color w:val="0F172A"/>
          <w:sz w:val="19"/>
        </w:rPr>
        <w:t>rubric</w:t>
      </w:r>
      <w:r>
        <w:rPr>
          <w:rFonts w:ascii="Calibri" w:hAnsi="Calibri"/>
          <w:color w:val="1E293B"/>
          <w:sz w:val="20"/>
        </w:rPr>
        <w:t>) via an Adaptive Dual-Pane Split Controller and enforces frame-0 solid navy backdrop when gates are active.</w:t>
      </w:r>
    </w:p>
    <w:p>
      <w:pPr>
        <w:pStyle w:val="ListBullet"/>
        <w:spacing w:before="0" w:after="60"/>
        <w:ind w:left="360"/>
      </w:pPr>
      <w:r>
        <w:rPr>
          <w:rFonts w:ascii="Calibri" w:hAnsi="Calibri"/>
          <w:b/>
          <w:color w:val="002B49"/>
          <w:sz w:val="20"/>
        </w:rPr>
        <w:t>`WorkspaceHeader.vue`:</w:t>
      </w:r>
      <w:r>
        <w:rPr>
          <w:rFonts w:ascii="Calibri" w:hAnsi="Calibri"/>
          <w:color w:val="1E293B"/>
          <w:sz w:val="20"/>
        </w:rPr>
        <w:t xml:space="preserve"> Aries EM high-density toolbar. Shows DRJ branding, live MS ID tracking, OJS bridge health pulse, auto-save status indicator, and deadline countdown.</w:t>
      </w:r>
    </w:p>
    <w:p>
      <w:pPr>
        <w:pStyle w:val="ListBullet"/>
        <w:spacing w:before="0" w:after="60"/>
        <w:ind w:left="360"/>
      </w:pPr>
      <w:r>
        <w:rPr>
          <w:rFonts w:ascii="Calibri" w:hAnsi="Calibri"/>
          <w:b/>
          <w:color w:val="002B49"/>
          <w:sz w:val="20"/>
        </w:rPr>
        <w:t>`ManuscriptViewer.vue`:</w:t>
      </w:r>
      <w:r>
        <w:rPr>
          <w:rFonts w:ascii="Calibri" w:hAnsi="Calibri"/>
          <w:color w:val="1E293B"/>
          <w:sz w:val="20"/>
        </w:rPr>
        <w:t xml:space="preserve"> Left-pane document reader. If PDF proof exists, loads high-performance sandbox iframe streaming from </w:t>
      </w:r>
      <w:r>
        <w:rPr>
          <w:rFonts w:ascii="Consolas" w:hAnsi="Consolas"/>
          <w:color w:val="0F172A"/>
          <w:sz w:val="19"/>
        </w:rPr>
        <w:t>api.php?action=stream_file</w:t>
      </w:r>
      <w:r>
        <w:rPr>
          <w:rFonts w:ascii="Calibri" w:hAnsi="Calibri"/>
          <w:color w:val="1E293B"/>
          <w:sz w:val="20"/>
        </w:rPr>
        <w:t>. If Word (.docx), displays a structured manuscript card with title, abstract, and direct file download.</w:t>
      </w:r>
    </w:p>
    <w:p>
      <w:pPr>
        <w:pStyle w:val="ListBullet"/>
        <w:spacing w:before="0" w:after="60"/>
        <w:ind w:left="360"/>
      </w:pPr>
      <w:r>
        <w:rPr>
          <w:rFonts w:ascii="Calibri" w:hAnsi="Calibri"/>
          <w:b/>
          <w:color w:val="002B49"/>
          <w:sz w:val="20"/>
        </w:rPr>
        <w:t>`ReviewerEvaluationForm.vue`:</w:t>
      </w:r>
      <w:r>
        <w:rPr>
          <w:rFonts w:ascii="Calibri" w:hAnsi="Calibri"/>
          <w:color w:val="1E293B"/>
          <w:sz w:val="20"/>
        </w:rPr>
        <w:t xml:space="preserve"> Right-pane evaluation suite:</w:t>
      </w:r>
    </w:p>
    <w:p>
      <w:pPr>
        <w:spacing w:before="0" w:after="60"/>
        <w:ind w:left="720"/>
      </w:pPr>
      <w:r>
        <w:rPr>
          <w:rFonts w:ascii="Calibri" w:hAnsi="Calibri"/>
          <w:b/>
          <w:color w:val="002B49"/>
          <w:sz w:val="20"/>
        </w:rPr>
        <w:t xml:space="preserve">1. </w:t>
      </w:r>
      <w:r>
        <w:rPr>
          <w:rFonts w:ascii="Calibri" w:hAnsi="Calibri"/>
          <w:b/>
          <w:color w:val="002B49"/>
          <w:sz w:val="20"/>
        </w:rPr>
        <w:t>Scientific Criteria Matrix:</w:t>
      </w:r>
      <w:r>
        <w:rPr>
          <w:rFonts w:ascii="Calibri" w:hAnsi="Calibri"/>
          <w:color w:val="1E293B"/>
          <w:sz w:val="20"/>
        </w:rPr>
        <w:t xml:space="preserve"> 5-point Likert scale (Scale 1: Poor to 5: Outstanding) across 5 core criteria.</w:t>
      </w:r>
    </w:p>
    <w:p>
      <w:pPr>
        <w:spacing w:before="0" w:after="60"/>
        <w:ind w:left="720"/>
      </w:pPr>
      <w:r>
        <w:rPr>
          <w:rFonts w:ascii="Calibri" w:hAnsi="Calibri"/>
          <w:b/>
          <w:color w:val="002B49"/>
          <w:sz w:val="20"/>
        </w:rPr>
        <w:t xml:space="preserve">2. </w:t>
      </w:r>
      <w:r>
        <w:rPr>
          <w:rFonts w:ascii="Calibri" w:hAnsi="Calibri"/>
          <w:b/>
          <w:color w:val="002B49"/>
          <w:sz w:val="20"/>
        </w:rPr>
        <w:t>Reviewer Questionnaire:</w:t>
      </w:r>
      <w:r>
        <w:rPr>
          <w:rFonts w:ascii="Calibri" w:hAnsi="Calibri"/>
          <w:color w:val="1E293B"/>
          <w:sz w:val="20"/>
        </w:rPr>
        <w:t xml:space="preserve"> Compliance radios (journal suitability, statistics rigor, language clarity, conflicts of interest).</w:t>
      </w:r>
    </w:p>
    <w:p>
      <w:pPr>
        <w:spacing w:before="0" w:after="60"/>
        <w:ind w:left="720"/>
      </w:pPr>
      <w:r>
        <w:rPr>
          <w:rFonts w:ascii="Calibri" w:hAnsi="Calibri"/>
          <w:b/>
          <w:color w:val="002B49"/>
          <w:sz w:val="20"/>
        </w:rPr>
        <w:t xml:space="preserve">3. </w:t>
      </w:r>
      <w:r>
        <w:rPr>
          <w:rFonts w:ascii="Calibri" w:hAnsi="Calibri"/>
          <w:b/>
          <w:color w:val="002B49"/>
          <w:sz w:val="20"/>
        </w:rPr>
        <w:t>Blinded Comments for Author(s):</w:t>
      </w:r>
      <w:r>
        <w:rPr>
          <w:rFonts w:ascii="Calibri" w:hAnsi="Calibri"/>
          <w:color w:val="1E293B"/>
          <w:sz w:val="20"/>
        </w:rPr>
        <w:t xml:space="preserve"> Transmitted directly to authors upon editorial decision.</w:t>
      </w:r>
    </w:p>
    <w:p>
      <w:pPr>
        <w:spacing w:before="0" w:after="60"/>
        <w:ind w:left="720"/>
      </w:pPr>
      <w:r>
        <w:rPr>
          <w:rFonts w:ascii="Calibri" w:hAnsi="Calibri"/>
          <w:b/>
          <w:color w:val="002B49"/>
          <w:sz w:val="20"/>
        </w:rPr>
        <w:t xml:space="preserve">4. </w:t>
      </w:r>
      <w:r>
        <w:rPr>
          <w:rFonts w:ascii="Calibri" w:hAnsi="Calibri"/>
          <w:b/>
          <w:color w:val="002B49"/>
          <w:sz w:val="20"/>
        </w:rPr>
        <w:t>Confidential Comments to Editor-in-Chief:</w:t>
      </w:r>
      <w:r>
        <w:rPr>
          <w:rFonts w:ascii="Calibri" w:hAnsi="Calibri"/>
          <w:color w:val="1E293B"/>
          <w:sz w:val="20"/>
        </w:rPr>
        <w:t xml:space="preserve"> Strictly concealed from authors; private to editorial board.</w:t>
      </w:r>
    </w:p>
    <w:p>
      <w:pPr>
        <w:spacing w:before="0" w:after="60"/>
        <w:ind w:left="720"/>
      </w:pPr>
      <w:r>
        <w:rPr>
          <w:rFonts w:ascii="Calibri" w:hAnsi="Calibri"/>
          <w:b/>
          <w:color w:val="002B49"/>
          <w:sz w:val="20"/>
        </w:rPr>
        <w:t xml:space="preserve">5. </w:t>
      </w:r>
      <w:r>
        <w:rPr>
          <w:rFonts w:ascii="Calibri" w:hAnsi="Calibri"/>
          <w:b/>
          <w:color w:val="002B49"/>
          <w:sz w:val="20"/>
        </w:rPr>
        <w:t>Reviewer File Attachments:</w:t>
      </w:r>
      <w:r>
        <w:rPr>
          <w:rFonts w:ascii="Calibri" w:hAnsi="Calibri"/>
          <w:color w:val="1E293B"/>
          <w:sz w:val="20"/>
        </w:rPr>
        <w:t xml:space="preserve"> Drag-and-drop uploader for marked-up manuscript drafts.</w:t>
      </w:r>
    </w:p>
    <w:p>
      <w:pPr>
        <w:spacing w:before="0" w:after="60"/>
        <w:ind w:left="720"/>
      </w:pPr>
      <w:r>
        <w:rPr>
          <w:rFonts w:ascii="Calibri" w:hAnsi="Calibri"/>
          <w:b/>
          <w:color w:val="002B49"/>
          <w:sz w:val="20"/>
        </w:rPr>
        <w:t xml:space="preserve">6. </w:t>
      </w:r>
      <w:r>
        <w:rPr>
          <w:rFonts w:ascii="Calibri" w:hAnsi="Calibri"/>
          <w:b/>
          <w:color w:val="002B49"/>
          <w:sz w:val="20"/>
        </w:rPr>
        <w:t>Final Recommendation:</w:t>
      </w:r>
      <w:r>
        <w:rPr>
          <w:rFonts w:ascii="Calibri" w:hAnsi="Calibri"/>
          <w:color w:val="1E293B"/>
          <w:sz w:val="20"/>
        </w:rPr>
        <w:t xml:space="preserve"> Accept, Minor Revisions, Major Revisions, or Decline.</w:t>
      </w:r>
    </w:p>
    <w:p>
      <w:pPr>
        <w:pStyle w:val="ListBullet"/>
        <w:spacing w:before="0" w:after="60"/>
        <w:ind w:left="360"/>
      </w:pPr>
      <w:r>
        <w:rPr>
          <w:rFonts w:ascii="Calibri" w:hAnsi="Calibri"/>
          <w:b/>
          <w:color w:val="002B49"/>
          <w:sz w:val="20"/>
        </w:rPr>
        <w:t>`SubmitConfirmModal.vue`:</w:t>
      </w:r>
      <w:r>
        <w:rPr>
          <w:rFonts w:ascii="Calibri" w:hAnsi="Calibri"/>
          <w:color w:val="1E293B"/>
          <w:sz w:val="20"/>
        </w:rPr>
        <w:t xml:space="preserve"> Pre-submission audit summary preventing accidental submissions.</w:t>
      </w:r>
    </w:p>
    <w:p>
      <w:pPr>
        <w:pStyle w:val="ListBullet"/>
        <w:spacing w:before="0" w:after="60"/>
        <w:ind w:left="360"/>
      </w:pPr>
      <w:r>
        <w:rPr>
          <w:rFonts w:ascii="Calibri" w:hAnsi="Calibri"/>
          <w:b/>
          <w:color w:val="002B49"/>
          <w:sz w:val="20"/>
        </w:rPr>
        <w:t>`CertificateModal.vue`:</w:t>
      </w:r>
      <w:r>
        <w:rPr>
          <w:rFonts w:ascii="Calibri" w:hAnsi="Calibri"/>
          <w:color w:val="1E293B"/>
          <w:sz w:val="20"/>
        </w:rPr>
        <w:t xml:space="preserve"> Instant generation of an official, printable </w:t>
      </w:r>
      <w:r>
        <w:rPr>
          <w:rFonts w:ascii="Calibri" w:hAnsi="Calibri"/>
          <w:b/>
          <w:color w:val="002B49"/>
          <w:sz w:val="20"/>
        </w:rPr>
        <w:t>Certificate of Peer Review Recognition</w:t>
      </w:r>
      <w:r>
        <w:rPr>
          <w:rFonts w:ascii="Calibri" w:hAnsi="Calibri"/>
          <w:color w:val="1E293B"/>
          <w:sz w:val="20"/>
        </w:rPr>
        <w:t xml:space="preserve"> with institutional seal.</w:t>
      </w:r>
    </w:p>
    <w:p>
      <w:pPr>
        <w:keepNext/>
        <w:spacing w:before="360" w:after="120"/>
      </w:pPr>
      <w:r>
        <w:rPr>
          <w:rFonts w:ascii="Georgia" w:hAnsi="Georgia"/>
          <w:b/>
          <w:color w:val="002B49"/>
          <w:sz w:val="28"/>
        </w:rPr>
        <w:t>5. Real-Time Auto-Save Protocol</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To prevent work loss caused by network interruptions or accidental browser closures, the portal uses a debounced auto-save protocol:</w:t>
      </w:r>
    </w:p>
    <w:p>
      <w:pPr>
        <w:spacing w:before="0" w:after="60"/>
        <w:ind w:left="360"/>
      </w:pPr>
      <w:r>
        <w:rPr>
          <w:rFonts w:ascii="Calibri" w:hAnsi="Calibri"/>
          <w:b/>
          <w:color w:val="002B49"/>
          <w:sz w:val="20"/>
        </w:rPr>
        <w:t xml:space="preserve">1. </w:t>
      </w:r>
      <w:r>
        <w:rPr>
          <w:rFonts w:ascii="Calibri" w:hAnsi="Calibri"/>
          <w:color w:val="1E293B"/>
          <w:sz w:val="20"/>
        </w:rPr>
        <w:t>Reviewer modifies a score radio button or enters text in author/editor commentary areas.</w:t>
      </w:r>
    </w:p>
    <w:p>
      <w:pPr>
        <w:spacing w:before="0" w:after="60"/>
        <w:ind w:left="360"/>
      </w:pPr>
      <w:r>
        <w:rPr>
          <w:rFonts w:ascii="Calibri" w:hAnsi="Calibri"/>
          <w:b/>
          <w:color w:val="002B49"/>
          <w:sz w:val="20"/>
        </w:rPr>
        <w:t xml:space="preserve">2. </w:t>
      </w:r>
      <w:r>
        <w:rPr>
          <w:rFonts w:ascii="Calibri" w:hAnsi="Calibri"/>
          <w:color w:val="1E293B"/>
          <w:sz w:val="20"/>
        </w:rPr>
        <w:t>Reactive state store immediately updates the in-memory telemetry model and recalculates the completion percentage meter.</w:t>
      </w:r>
    </w:p>
    <w:p>
      <w:pPr>
        <w:spacing w:before="0" w:after="60"/>
        <w:ind w:left="360"/>
      </w:pPr>
      <w:r>
        <w:rPr>
          <w:rFonts w:ascii="Calibri" w:hAnsi="Calibri"/>
          <w:b/>
          <w:color w:val="002B49"/>
          <w:sz w:val="20"/>
        </w:rPr>
        <w:t xml:space="preserve">3. </w:t>
      </w:r>
      <w:r>
        <w:rPr>
          <w:rFonts w:ascii="Calibri" w:hAnsi="Calibri"/>
          <w:color w:val="1E293B"/>
          <w:sz w:val="20"/>
        </w:rPr>
        <w:t>Save status indicator transitions to 'Saving draft...' and a debounce timer starts with a 1,200ms threshold.</w:t>
      </w:r>
    </w:p>
    <w:p>
      <w:pPr>
        <w:spacing w:before="0" w:after="60"/>
        <w:ind w:left="360"/>
      </w:pPr>
      <w:r>
        <w:rPr>
          <w:rFonts w:ascii="Calibri" w:hAnsi="Calibri"/>
          <w:b/>
          <w:color w:val="002B49"/>
          <w:sz w:val="20"/>
        </w:rPr>
        <w:t xml:space="preserve">4. </w:t>
      </w:r>
      <w:r>
        <w:rPr>
          <w:rFonts w:ascii="Calibri" w:hAnsi="Calibri"/>
          <w:color w:val="1E293B"/>
          <w:sz w:val="20"/>
        </w:rPr>
        <w:t>If subsequent keystrokes occur within 1,200ms, the timer is reset to conserve network overhead.</w:t>
      </w:r>
    </w:p>
    <w:p>
      <w:pPr>
        <w:spacing w:before="0" w:after="60"/>
        <w:ind w:left="360"/>
      </w:pPr>
      <w:r>
        <w:rPr>
          <w:rFonts w:ascii="Calibri" w:hAnsi="Calibri"/>
          <w:b/>
          <w:color w:val="002B49"/>
          <w:sz w:val="20"/>
        </w:rPr>
        <w:t xml:space="preserve">5. </w:t>
      </w:r>
      <w:r>
        <w:rPr>
          <w:rFonts w:ascii="Calibri" w:hAnsi="Calibri"/>
          <w:color w:val="1E293B"/>
          <w:sz w:val="20"/>
        </w:rPr>
        <w:t xml:space="preserve">Upon inactivity exceeding 1,200ms, an asynchronous POST payload is transmitted to </w:t>
      </w:r>
      <w:r>
        <w:rPr>
          <w:rFonts w:ascii="Consolas" w:hAnsi="Consolas"/>
          <w:color w:val="0F172A"/>
          <w:sz w:val="19"/>
        </w:rPr>
        <w:t>api.php?action=save_draft</w:t>
      </w:r>
      <w:r>
        <w:rPr>
          <w:rFonts w:ascii="Calibri" w:hAnsi="Calibri"/>
          <w:color w:val="1E293B"/>
          <w:sz w:val="20"/>
        </w:rPr>
        <w:t>.</w:t>
      </w:r>
    </w:p>
    <w:p>
      <w:pPr>
        <w:spacing w:before="0" w:after="60"/>
        <w:ind w:left="360"/>
      </w:pPr>
      <w:r>
        <w:rPr>
          <w:rFonts w:ascii="Calibri" w:hAnsi="Calibri"/>
          <w:b/>
          <w:color w:val="002B49"/>
          <w:sz w:val="20"/>
        </w:rPr>
        <w:t xml:space="preserve">6. </w:t>
      </w:r>
      <w:r>
        <w:rPr>
          <w:rFonts w:ascii="Calibri" w:hAnsi="Calibri"/>
          <w:color w:val="1E293B"/>
          <w:sz w:val="20"/>
        </w:rPr>
        <w:t xml:space="preserve">The server validates HMAC tokens and writes the draft snapshot to </w:t>
      </w:r>
      <w:r>
        <w:rPr>
          <w:rFonts w:ascii="Consolas" w:hAnsi="Consolas"/>
          <w:color w:val="0F172A"/>
          <w:sz w:val="19"/>
        </w:rPr>
        <w:t>/review_portal/drafts/draft_{review_id}.json</w:t>
      </w:r>
      <w:r>
        <w:rPr>
          <w:rFonts w:ascii="Calibri" w:hAnsi="Calibri"/>
          <w:color w:val="1E293B"/>
          <w:sz w:val="20"/>
        </w:rPr>
        <w:t>.</w:t>
      </w:r>
    </w:p>
    <w:p>
      <w:pPr>
        <w:spacing w:before="0" w:after="60"/>
        <w:ind w:left="360"/>
      </w:pPr>
      <w:r>
        <w:rPr>
          <w:rFonts w:ascii="Calibri" w:hAnsi="Calibri"/>
          <w:b/>
          <w:color w:val="002B49"/>
          <w:sz w:val="20"/>
        </w:rPr>
        <w:t xml:space="preserve">7. </w:t>
      </w:r>
      <w:r>
        <w:rPr>
          <w:rFonts w:ascii="Calibri" w:hAnsi="Calibri"/>
          <w:color w:val="1E293B"/>
          <w:sz w:val="20"/>
        </w:rPr>
        <w:t>Upon receipt of HTTP 200 confirmation, the UI updates the indicator to 'Saved HH:MM:SS' and mirrors the draft in browser localStorage.</w:t>
      </w:r>
    </w:p>
    <w:p>
      <w:pPr>
        <w:keepNext/>
        <w:spacing w:before="360" w:after="120"/>
      </w:pPr>
      <w:r>
        <w:rPr>
          <w:rFonts w:ascii="Georgia" w:hAnsi="Georgia"/>
          <w:b/>
          <w:color w:val="002B49"/>
          <w:sz w:val="28"/>
        </w:rPr>
        <w:t>6. Submission &amp; OJS Database Synchronization</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 xml:space="preserve">Upon final submission confirmation, </w:t>
      </w:r>
      <w:r>
        <w:rPr>
          <w:rFonts w:ascii="Consolas" w:hAnsi="Consolas"/>
          <w:color w:val="0F172A"/>
          <w:sz w:val="19"/>
        </w:rPr>
        <w:t>api.php</w:t>
      </w:r>
      <w:r>
        <w:rPr>
          <w:rFonts w:ascii="Calibri" w:hAnsi="Calibri"/>
          <w:color w:val="1E293B"/>
          <w:sz w:val="20"/>
        </w:rPr>
        <w:t xml:space="preserve"> executes an atomic database transaction updating core OJS 3.4 tables:</w:t>
      </w:r>
    </w:p>
    <w:p>
      <w:pPr>
        <w:spacing w:before="0" w:after="60"/>
        <w:ind w:left="360"/>
      </w:pPr>
      <w:r>
        <w:rPr>
          <w:rFonts w:ascii="Calibri" w:hAnsi="Calibri"/>
          <w:b/>
          <w:color w:val="002B49"/>
          <w:sz w:val="20"/>
        </w:rPr>
        <w:t xml:space="preserve">1. </w:t>
      </w:r>
      <w:r>
        <w:rPr>
          <w:rFonts w:ascii="Calibri" w:hAnsi="Calibri"/>
          <w:color w:val="1E293B"/>
          <w:sz w:val="20"/>
        </w:rPr>
        <w:t>Reviewer confirms final evaluation in the pre-submission audit modal.</w:t>
      </w:r>
    </w:p>
    <w:p>
      <w:pPr>
        <w:spacing w:before="0" w:after="60"/>
        <w:ind w:left="360"/>
      </w:pPr>
      <w:r>
        <w:rPr>
          <w:rFonts w:ascii="Calibri" w:hAnsi="Calibri"/>
          <w:b/>
          <w:color w:val="002B49"/>
          <w:sz w:val="20"/>
        </w:rPr>
        <w:t xml:space="preserve">2. </w:t>
      </w:r>
      <w:r>
        <w:rPr>
          <w:rFonts w:ascii="Calibri" w:hAnsi="Calibri"/>
          <w:color w:val="1E293B"/>
          <w:sz w:val="20"/>
        </w:rPr>
        <w:t xml:space="preserve">Client dispatches </w:t>
      </w:r>
      <w:r>
        <w:rPr>
          <w:rFonts w:ascii="Consolas" w:hAnsi="Consolas"/>
          <w:color w:val="0F172A"/>
          <w:sz w:val="19"/>
        </w:rPr>
        <w:t>POST /api.php?action=submit_review</w:t>
      </w:r>
      <w:r>
        <w:rPr>
          <w:rFonts w:ascii="Calibri" w:hAnsi="Calibri"/>
          <w:color w:val="1E293B"/>
          <w:sz w:val="20"/>
        </w:rPr>
        <w:t xml:space="preserve"> with completed rubric payload.</w:t>
      </w:r>
    </w:p>
    <w:p>
      <w:pPr>
        <w:spacing w:before="0" w:after="60"/>
        <w:ind w:left="360"/>
      </w:pPr>
      <w:r>
        <w:rPr>
          <w:rFonts w:ascii="Calibri" w:hAnsi="Calibri"/>
          <w:b/>
          <w:color w:val="002B49"/>
          <w:sz w:val="20"/>
        </w:rPr>
        <w:t xml:space="preserve">3. </w:t>
      </w:r>
      <w:r>
        <w:rPr>
          <w:rFonts w:ascii="Calibri" w:hAnsi="Calibri"/>
          <w:color w:val="1E293B"/>
          <w:sz w:val="20"/>
        </w:rPr>
        <w:t>API validates HMAC token, reviewer email identity, and mandatory rubric constraints.</w:t>
      </w:r>
    </w:p>
    <w:p>
      <w:pPr>
        <w:spacing w:before="0" w:after="60"/>
        <w:ind w:left="360"/>
      </w:pPr>
      <w:r>
        <w:rPr>
          <w:rFonts w:ascii="Calibri" w:hAnsi="Calibri"/>
          <w:b/>
          <w:color w:val="002B49"/>
          <w:sz w:val="20"/>
        </w:rPr>
        <w:t xml:space="preserve">4. </w:t>
      </w:r>
      <w:r>
        <w:rPr>
          <w:rFonts w:ascii="Consolas" w:hAnsi="Consolas"/>
          <w:color w:val="0F172A"/>
          <w:sz w:val="19"/>
        </w:rPr>
        <w:t>UPDATE review_assignments SET recommendation = ?, date_completed = NOW() WHERE review_id = ?</w:t>
      </w:r>
      <w:r>
        <w:rPr>
          <w:rFonts w:ascii="Calibri" w:hAnsi="Calibri"/>
          <w:color w:val="1E293B"/>
          <w:sz w:val="20"/>
        </w:rPr>
        <w:t xml:space="preserve"> is executed.</w:t>
      </w:r>
    </w:p>
    <w:p>
      <w:pPr>
        <w:spacing w:before="0" w:after="60"/>
        <w:ind w:left="360"/>
      </w:pPr>
      <w:r>
        <w:rPr>
          <w:rFonts w:ascii="Calibri" w:hAnsi="Calibri"/>
          <w:b/>
          <w:color w:val="002B49"/>
          <w:sz w:val="20"/>
        </w:rPr>
        <w:t xml:space="preserve">5. </w:t>
      </w:r>
      <w:r>
        <w:rPr>
          <w:rFonts w:ascii="Consolas" w:hAnsi="Consolas"/>
          <w:color w:val="0F172A"/>
          <w:sz w:val="19"/>
        </w:rPr>
        <w:t>INSERT INTO submission_comments</w:t>
      </w:r>
      <w:r>
        <w:rPr>
          <w:rFonts w:ascii="Calibri" w:hAnsi="Calibri"/>
          <w:color w:val="1E293B"/>
          <w:sz w:val="20"/>
        </w:rPr>
        <w:t xml:space="preserve"> records author comments (</w:t>
      </w:r>
      <w:r>
        <w:rPr>
          <w:rFonts w:ascii="Consolas" w:hAnsi="Consolas"/>
          <w:color w:val="0F172A"/>
          <w:sz w:val="19"/>
        </w:rPr>
        <w:t>comment_type = 1</w:t>
      </w:r>
      <w:r>
        <w:rPr>
          <w:rFonts w:ascii="Calibri" w:hAnsi="Calibri"/>
          <w:color w:val="1E293B"/>
          <w:sz w:val="20"/>
        </w:rPr>
        <w:t>).</w:t>
      </w:r>
    </w:p>
    <w:p>
      <w:pPr>
        <w:spacing w:before="0" w:after="60"/>
        <w:ind w:left="360"/>
      </w:pPr>
      <w:r>
        <w:rPr>
          <w:rFonts w:ascii="Calibri" w:hAnsi="Calibri"/>
          <w:b/>
          <w:color w:val="002B49"/>
          <w:sz w:val="20"/>
        </w:rPr>
        <w:t xml:space="preserve">6. </w:t>
      </w:r>
      <w:r>
        <w:rPr>
          <w:rFonts w:ascii="Consolas" w:hAnsi="Consolas"/>
          <w:color w:val="0F172A"/>
          <w:sz w:val="19"/>
        </w:rPr>
        <w:t>INSERT INTO submission_comments</w:t>
      </w:r>
      <w:r>
        <w:rPr>
          <w:rFonts w:ascii="Calibri" w:hAnsi="Calibri"/>
          <w:color w:val="1E293B"/>
          <w:sz w:val="20"/>
        </w:rPr>
        <w:t xml:space="preserve"> records confidential editorial comments (</w:t>
      </w:r>
      <w:r>
        <w:rPr>
          <w:rFonts w:ascii="Consolas" w:hAnsi="Consolas"/>
          <w:color w:val="0F172A"/>
          <w:sz w:val="19"/>
        </w:rPr>
        <w:t>comment_type = 2</w:t>
      </w:r>
      <w:r>
        <w:rPr>
          <w:rFonts w:ascii="Calibri" w:hAnsi="Calibri"/>
          <w:color w:val="1E293B"/>
          <w:sz w:val="20"/>
        </w:rPr>
        <w:t>).</w:t>
      </w:r>
    </w:p>
    <w:p>
      <w:pPr>
        <w:spacing w:before="0" w:after="60"/>
        <w:ind w:left="360"/>
      </w:pPr>
      <w:r>
        <w:rPr>
          <w:rFonts w:ascii="Calibri" w:hAnsi="Calibri"/>
          <w:b/>
          <w:color w:val="002B49"/>
          <w:sz w:val="20"/>
        </w:rPr>
        <w:t xml:space="preserve">7. </w:t>
      </w:r>
      <w:r>
        <w:rPr>
          <w:rFonts w:ascii="Calibri" w:hAnsi="Calibri"/>
          <w:color w:val="1E293B"/>
          <w:sz w:val="20"/>
        </w:rPr>
        <w:t>Server archives the temporary draft JSON file and commits the database transaction atomically.</w:t>
      </w:r>
    </w:p>
    <w:p>
      <w:pPr>
        <w:spacing w:before="0" w:after="60"/>
        <w:ind w:left="360"/>
      </w:pPr>
      <w:r>
        <w:rPr>
          <w:rFonts w:ascii="Calibri" w:hAnsi="Calibri"/>
          <w:b/>
          <w:color w:val="002B49"/>
          <w:sz w:val="20"/>
        </w:rPr>
        <w:t xml:space="preserve">8. </w:t>
      </w:r>
      <w:r>
        <w:rPr>
          <w:rFonts w:ascii="Calibri" w:hAnsi="Calibri"/>
          <w:color w:val="1E293B"/>
          <w:sz w:val="20"/>
        </w:rPr>
        <w:t xml:space="preserve">Reviewer is notified with a confirmation alert, and the </w:t>
      </w:r>
      <w:r>
        <w:rPr>
          <w:rFonts w:ascii="Calibri" w:hAnsi="Calibri"/>
          <w:b/>
          <w:color w:val="002B49"/>
          <w:sz w:val="20"/>
        </w:rPr>
        <w:t>Certificate of Peer Review Recognition</w:t>
      </w:r>
      <w:r>
        <w:rPr>
          <w:rFonts w:ascii="Calibri" w:hAnsi="Calibri"/>
          <w:color w:val="1E293B"/>
          <w:sz w:val="20"/>
        </w:rPr>
        <w:t xml:space="preserve"> is automatically presented.</w:t>
      </w:r>
    </w:p>
    <w:p>
      <w:pPr>
        <w:keepNext/>
        <w:spacing w:before="360" w:after="120"/>
      </w:pPr>
      <w:r>
        <w:rPr>
          <w:rFonts w:ascii="Georgia" w:hAnsi="Georgia"/>
          <w:b/>
          <w:color w:val="002B49"/>
          <w:sz w:val="28"/>
        </w:rPr>
        <w:t>7. OJS 3.4 Generic Plugin Architecture</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spacing w:before="0" w:after="120" w:line="276" w:lineRule="auto"/>
      </w:pPr>
      <w:r>
        <w:rPr>
          <w:rFonts w:ascii="Calibri" w:hAnsi="Calibri"/>
          <w:color w:val="1E293B"/>
          <w:sz w:val="20"/>
        </w:rPr>
        <w:t>The OJS generic plugin (</w:t>
      </w:r>
      <w:r>
        <w:rPr>
          <w:rFonts w:ascii="Consolas" w:hAnsi="Consolas"/>
          <w:color w:val="0F172A"/>
          <w:sz w:val="19"/>
        </w:rPr>
        <w:t>plugins/generic/editorialManagerReview</w:t>
      </w:r>
      <w:r>
        <w:rPr>
          <w:rFonts w:ascii="Calibri" w:hAnsi="Calibri"/>
          <w:color w:val="1E293B"/>
          <w:sz w:val="20"/>
        </w:rPr>
        <w:t>) enables institutional management and internal routing:</w:t>
      </w:r>
    </w:p>
    <w:tbl>
      <w:tblPr>
        <w:tblW w:type="auto" w:w="0"/>
        <w:jc w:val="center"/>
        <w:tblLook w:firstColumn="1" w:firstRow="1" w:lastColumn="0" w:lastRow="0" w:noHBand="0" w:noVBand="1" w:val="04A0"/>
      </w:tblPr>
      <w:tblGrid>
        <w:gridCol w:w="9605"/>
      </w:tblGrid>
      <w:tr>
        <w:tc>
          <w:tcPr>
            <w:tcW w:type="dxa" w:w="9605"/>
            <w:shd w:fill="F1F5F9"/>
            <w:tcBorders>
              <w:top w:val="single" w:sz="4" w:space="0" w:color="CBD5E1"/>
              <w:bottom w:val="single" w:sz="4" w:space="0" w:color="CBD5E1"/>
              <w:left w:val="single" w:sz="16" w:space="0" w:color="002B49"/>
              <w:right w:val="single" w:sz="4" w:space="0" w:color="CBD5E1"/>
            </w:tcBorders>
            <w:tcMar>
              <w:top w:w="100" w:type="dxa"/>
              <w:bottom w:w="100" w:type="dxa"/>
              <w:left w:w="140" w:type="dxa"/>
              <w:right w:w="140" w:type="dxa"/>
            </w:tcMar>
          </w:tcPr>
          <w:p>
            <w:pPr>
              <w:spacing w:before="0" w:after="0" w:line="252" w:lineRule="auto"/>
            </w:pPr>
            <w:r>
              <w:rPr>
                <w:rFonts w:ascii="Consolas" w:hAnsi="Consolas"/>
                <w:color w:val="0F172A"/>
                <w:sz w:val="17"/>
              </w:rPr>
              <w:t>plugins/generic/editorialManagerReview/</w:t>
              <w:br/>
              <w:t>|-- EditorialManagerReviewPlugin.php  # Extends PKP GenericPlugin; registers LoadHandler</w:t>
              <w:br/>
              <w:t>|-- version.xml                       # OJS 3.4 plugin version metadata</w:t>
              <w:br/>
              <w:t>|-- index.php                         # PSR-4 plugin bootstrap</w:t>
              <w:br/>
              <w:t>|-- locale/</w:t>
              <w:br/>
              <w:t>|   `-- en/</w:t>
              <w:br/>
              <w:t>|       `-- locale.po                 # English localization strings</w:t>
              <w:br/>
              <w:t>`-- pages/</w:t>
              <w:br/>
              <w:t xml:space="preserve">    `-- ReviewerPortalHandler.php     # Intercepts /index.php/drj/reviewer-portal</w:t>
            </w:r>
          </w:p>
        </w:tc>
      </w:tr>
    </w:tbl>
    <w:p>
      <w:pPr>
        <w:spacing w:after="80"/>
      </w:pPr>
    </w:p>
    <w:p>
      <w:pPr>
        <w:keepNext/>
        <w:spacing w:before="280" w:after="80"/>
      </w:pPr>
      <w:r>
        <w:rPr>
          <w:rFonts w:ascii="Georgia" w:hAnsi="Georgia"/>
          <w:b/>
          <w:color w:val="002B49"/>
          <w:sz w:val="24"/>
        </w:rPr>
        <w:t>7.1 Lifecycle Hook Integration</w:t>
      </w:r>
    </w:p>
    <w:tbl>
      <w:tblPr>
        <w:tblW w:type="auto" w:w="0"/>
        <w:jc w:val="center"/>
        <w:tblLook w:firstColumn="1" w:firstRow="1" w:lastColumn="0" w:lastRow="0" w:noHBand="0" w:noVBand="1" w:val="04A0"/>
      </w:tblPr>
      <w:tblGrid>
        <w:gridCol w:w="9605"/>
      </w:tblGrid>
      <w:tr>
        <w:tc>
          <w:tcPr>
            <w:tcW w:type="dxa" w:w="9605"/>
            <w:shd w:fill="F1F5F9"/>
            <w:tcBorders>
              <w:top w:val="single" w:sz="4" w:space="0" w:color="CBD5E1"/>
              <w:bottom w:val="single" w:sz="4" w:space="0" w:color="CBD5E1"/>
              <w:left w:val="single" w:sz="16" w:space="0" w:color="002B49"/>
              <w:right w:val="single" w:sz="4" w:space="0" w:color="CBD5E1"/>
            </w:tcBorders>
            <w:tcMar>
              <w:top w:w="100" w:type="dxa"/>
              <w:bottom w:w="100" w:type="dxa"/>
              <w:left w:w="140" w:type="dxa"/>
              <w:right w:w="140" w:type="dxa"/>
            </w:tcMar>
          </w:tcPr>
          <w:p>
            <w:pPr>
              <w:spacing w:before="0" w:after="0" w:line="252" w:lineRule="auto"/>
            </w:pPr>
            <w:r>
              <w:rPr>
                <w:rFonts w:ascii="Consolas" w:hAnsi="Consolas"/>
                <w:color w:val="0F172A"/>
                <w:sz w:val="17"/>
              </w:rPr>
              <w:t>public function register($category, $path, $mainContextId = null): bool</w:t>
              <w:br/>
              <w:t>{</w:t>
              <w:br/>
              <w:t xml:space="preserve">    $success = parent::register($category, $path, $mainContextId);</w:t>
              <w:br/>
              <w:t xml:space="preserve">    if ($success) {</w:t>
              <w:br/>
              <w:t xml:space="preserve">        Hook::add('LoadHandler', $this-&gt;callbackLoadHandler(...), Hook::SEQUENCE_CORE);</w:t>
              <w:br/>
              <w:t xml:space="preserve">    }</w:t>
              <w:br/>
              <w:t xml:space="preserve">    return $success;</w:t>
              <w:br/>
              <w:t>}</w:t>
            </w:r>
          </w:p>
        </w:tc>
      </w:tr>
    </w:tbl>
    <w:p>
      <w:pPr>
        <w:spacing w:after="80"/>
      </w:pPr>
    </w:p>
    <w:p>
      <w:pPr>
        <w:spacing w:before="0" w:after="120" w:line="276" w:lineRule="auto"/>
      </w:pPr>
      <w:r>
        <w:rPr>
          <w:rFonts w:ascii="Calibri" w:hAnsi="Calibri"/>
          <w:color w:val="1E293B"/>
          <w:sz w:val="20"/>
        </w:rPr>
        <w:t xml:space="preserve">When OJS receives an inbound request matching </w:t>
      </w:r>
      <w:r>
        <w:rPr>
          <w:rFonts w:ascii="Consolas" w:hAnsi="Consolas"/>
          <w:color w:val="0F172A"/>
          <w:sz w:val="19"/>
        </w:rPr>
        <w:t>reviewer-portal</w:t>
      </w:r>
      <w:r>
        <w:rPr>
          <w:rFonts w:ascii="Calibri" w:hAnsi="Calibri"/>
          <w:color w:val="1E293B"/>
          <w:sz w:val="20"/>
        </w:rPr>
        <w:t xml:space="preserve"> or </w:t>
      </w:r>
      <w:r>
        <w:rPr>
          <w:rFonts w:ascii="Consolas" w:hAnsi="Consolas"/>
          <w:color w:val="0F172A"/>
          <w:sz w:val="19"/>
        </w:rPr>
        <w:t>em-review</w:t>
      </w:r>
      <w:r>
        <w:rPr>
          <w:rFonts w:ascii="Calibri" w:hAnsi="Calibri"/>
          <w:color w:val="1E293B"/>
          <w:sz w:val="20"/>
        </w:rPr>
        <w:t xml:space="preserve">, the plugin delegates handling to </w:t>
      </w:r>
      <w:r>
        <w:rPr>
          <w:rFonts w:ascii="Consolas" w:hAnsi="Consolas"/>
          <w:color w:val="0F172A"/>
          <w:sz w:val="19"/>
        </w:rPr>
        <w:t>ReviewerPortalHandler</w:t>
      </w:r>
      <w:r>
        <w:rPr>
          <w:rFonts w:ascii="Calibri" w:hAnsi="Calibri"/>
          <w:color w:val="1E293B"/>
          <w:sz w:val="20"/>
        </w:rPr>
        <w:t>, which transparently preserves all query parameters (</w:t>
      </w:r>
      <w:r>
        <w:rPr>
          <w:rFonts w:ascii="Consolas" w:hAnsi="Consolas"/>
          <w:color w:val="0F172A"/>
          <w:sz w:val="19"/>
        </w:rPr>
        <w:t>reviewId</w:t>
      </w:r>
      <w:r>
        <w:rPr>
          <w:rFonts w:ascii="Calibri" w:hAnsi="Calibri"/>
          <w:color w:val="1E293B"/>
          <w:sz w:val="20"/>
        </w:rPr>
        <w:t xml:space="preserve">, </w:t>
      </w:r>
      <w:r>
        <w:rPr>
          <w:rFonts w:ascii="Consolas" w:hAnsi="Consolas"/>
          <w:color w:val="0F172A"/>
          <w:sz w:val="19"/>
        </w:rPr>
        <w:t>token</w:t>
      </w:r>
      <w:r>
        <w:rPr>
          <w:rFonts w:ascii="Calibri" w:hAnsi="Calibri"/>
          <w:color w:val="1E293B"/>
          <w:sz w:val="20"/>
        </w:rPr>
        <w:t>) and transitions the reviewer to the dedicated portal environment.</w:t>
      </w:r>
    </w:p>
    <w:p>
      <w:pPr>
        <w:keepNext/>
        <w:spacing w:before="360" w:after="120"/>
      </w:pPr>
      <w:r>
        <w:rPr>
          <w:rFonts w:ascii="Georgia" w:hAnsi="Georgia"/>
          <w:b/>
          <w:color w:val="002B49"/>
          <w:sz w:val="28"/>
        </w:rPr>
        <w:t>8. Network Infrastructure &amp; SMTP Relay</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p>
      <w:pPr>
        <w:pStyle w:val="ListBullet"/>
        <w:spacing w:before="0" w:after="60"/>
        <w:ind w:left="360"/>
      </w:pPr>
      <w:r>
        <w:rPr>
          <w:rFonts w:ascii="Calibri" w:hAnsi="Calibri"/>
          <w:b/>
          <w:color w:val="002B49"/>
          <w:sz w:val="20"/>
        </w:rPr>
        <w:t>Hosting Server:</w:t>
      </w:r>
      <w:r>
        <w:rPr>
          <w:rFonts w:ascii="Calibri" w:hAnsi="Calibri"/>
          <w:color w:val="1E293B"/>
          <w:sz w:val="20"/>
        </w:rPr>
        <w:t xml:space="preserve"> GoDaddy VPS Gen 4 (AlmaLinux 9.8, cPanel user </w:t>
      </w:r>
      <w:r>
        <w:rPr>
          <w:rFonts w:ascii="Consolas" w:hAnsi="Consolas"/>
          <w:color w:val="0F172A"/>
          <w:sz w:val="19"/>
        </w:rPr>
        <w:t>drj2024</w:t>
      </w:r>
      <w:r>
        <w:rPr>
          <w:rFonts w:ascii="Calibri" w:hAnsi="Calibri"/>
          <w:color w:val="1E293B"/>
          <w:sz w:val="20"/>
        </w:rPr>
        <w:t>).</w:t>
      </w:r>
    </w:p>
    <w:p>
      <w:pPr>
        <w:pStyle w:val="ListBullet"/>
        <w:spacing w:before="0" w:after="60"/>
        <w:ind w:left="360"/>
      </w:pPr>
      <w:r>
        <w:rPr>
          <w:rFonts w:ascii="Calibri" w:hAnsi="Calibri"/>
          <w:b/>
          <w:color w:val="002B49"/>
          <w:sz w:val="20"/>
        </w:rPr>
        <w:t>Port 25 Policy:</w:t>
      </w:r>
      <w:r>
        <w:rPr>
          <w:rFonts w:ascii="Calibri" w:hAnsi="Calibri"/>
          <w:color w:val="1E293B"/>
          <w:sz w:val="20"/>
        </w:rPr>
        <w:t xml:space="preserve"> Outbound TCP port 25 is blocked by network-level firewall. Direct sendmail/Exim connections to Google/Yahoo time out.</w:t>
      </w:r>
    </w:p>
    <w:p>
      <w:pPr>
        <w:pStyle w:val="ListBullet"/>
        <w:spacing w:before="0" w:after="60"/>
        <w:ind w:left="360"/>
      </w:pPr>
      <w:r>
        <w:rPr>
          <w:rFonts w:ascii="Calibri" w:hAnsi="Calibri"/>
          <w:b/>
          <w:color w:val="002B49"/>
          <w:sz w:val="20"/>
        </w:rPr>
        <w:t>Resend SMTP Relay:</w:t>
      </w:r>
      <w:r>
        <w:rPr>
          <w:rFonts w:ascii="Calibri" w:hAnsi="Calibri"/>
          <w:color w:val="1E293B"/>
          <w:sz w:val="20"/>
        </w:rPr>
        <w:t xml:space="preserve"> Outbound review invitations route through </w:t>
      </w:r>
      <w:r>
        <w:rPr>
          <w:rFonts w:ascii="Consolas" w:hAnsi="Consolas"/>
          <w:color w:val="0F172A"/>
          <w:sz w:val="19"/>
        </w:rPr>
        <w:t>smtp.resend.com</w:t>
      </w:r>
      <w:r>
        <w:rPr>
          <w:rFonts w:ascii="Calibri" w:hAnsi="Calibri"/>
          <w:color w:val="1E293B"/>
          <w:sz w:val="20"/>
        </w:rPr>
        <w:t xml:space="preserve"> on </w:t>
      </w:r>
      <w:r>
        <w:rPr>
          <w:rFonts w:ascii="Calibri" w:hAnsi="Calibri"/>
          <w:b/>
          <w:color w:val="002B49"/>
          <w:sz w:val="20"/>
        </w:rPr>
        <w:t>Port 465 SSL</w:t>
      </w:r>
      <w:r>
        <w:rPr>
          <w:rFonts w:ascii="Calibri" w:hAnsi="Calibri"/>
          <w:color w:val="1E293B"/>
          <w:sz w:val="20"/>
        </w:rPr>
        <w:t>:</w:t>
      </w:r>
    </w:p>
    <w:p>
      <w:pPr>
        <w:pStyle w:val="ListBullet"/>
        <w:spacing w:before="0" w:after="60"/>
        <w:ind w:left="720"/>
      </w:pPr>
      <w:r>
        <w:rPr>
          <w:rFonts w:ascii="Calibri" w:hAnsi="Calibri"/>
          <w:i/>
          <w:color w:val="1E293B"/>
          <w:sz w:val="20"/>
        </w:rPr>
        <w:t>Host:</w:t>
      </w:r>
      <w:r>
        <w:rPr>
          <w:rFonts w:ascii="Calibri" w:hAnsi="Calibri"/>
          <w:color w:val="1E293B"/>
          <w:sz w:val="20"/>
        </w:rPr>
        <w:t xml:space="preserve"> </w:t>
      </w:r>
      <w:r>
        <w:rPr>
          <w:rFonts w:ascii="Consolas" w:hAnsi="Consolas"/>
          <w:color w:val="0F172A"/>
          <w:sz w:val="19"/>
        </w:rPr>
        <w:t>smtp.resend.com</w:t>
      </w:r>
    </w:p>
    <w:p>
      <w:pPr>
        <w:pStyle w:val="ListBullet"/>
        <w:spacing w:before="0" w:after="60"/>
        <w:ind w:left="720"/>
      </w:pPr>
      <w:r>
        <w:rPr>
          <w:rFonts w:ascii="Calibri" w:hAnsi="Calibri"/>
          <w:i/>
          <w:color w:val="1E293B"/>
          <w:sz w:val="20"/>
        </w:rPr>
        <w:t>Port:</w:t>
      </w:r>
      <w:r>
        <w:rPr>
          <w:rFonts w:ascii="Calibri" w:hAnsi="Calibri"/>
          <w:color w:val="1E293B"/>
          <w:sz w:val="20"/>
        </w:rPr>
        <w:t xml:space="preserve"> </w:t>
      </w:r>
      <w:r>
        <w:rPr>
          <w:rFonts w:ascii="Consolas" w:hAnsi="Consolas"/>
          <w:color w:val="0F172A"/>
          <w:sz w:val="19"/>
        </w:rPr>
        <w:t>465</w:t>
      </w:r>
      <w:r>
        <w:rPr>
          <w:rFonts w:ascii="Calibri" w:hAnsi="Calibri"/>
          <w:color w:val="1E293B"/>
          <w:sz w:val="20"/>
        </w:rPr>
        <w:t xml:space="preserve"> (SSL)</w:t>
      </w:r>
    </w:p>
    <w:p>
      <w:pPr>
        <w:pStyle w:val="ListBullet"/>
        <w:spacing w:before="0" w:after="60"/>
        <w:ind w:left="720"/>
      </w:pPr>
      <w:r>
        <w:rPr>
          <w:rFonts w:ascii="Calibri" w:hAnsi="Calibri"/>
          <w:i/>
          <w:color w:val="1E293B"/>
          <w:sz w:val="20"/>
        </w:rPr>
        <w:t>Default Envelope Sender:</w:t>
      </w:r>
      <w:r>
        <w:rPr>
          <w:rFonts w:ascii="Calibri" w:hAnsi="Calibri"/>
          <w:color w:val="1E293B"/>
          <w:sz w:val="20"/>
        </w:rPr>
        <w:t xml:space="preserve"> </w:t>
      </w:r>
      <w:r>
        <w:rPr>
          <w:rFonts w:ascii="Consolas" w:hAnsi="Consolas"/>
          <w:color w:val="0F172A"/>
          <w:sz w:val="19"/>
        </w:rPr>
        <w:t>editor@davaoresearchjournal.ph</w:t>
      </w:r>
    </w:p>
    <w:p>
      <w:pPr>
        <w:pStyle w:val="ListBullet"/>
        <w:spacing w:before="0" w:after="60"/>
        <w:ind w:left="720"/>
      </w:pPr>
      <w:r>
        <w:rPr>
          <w:rFonts w:ascii="Calibri" w:hAnsi="Calibri"/>
          <w:i/>
          <w:color w:val="1E293B"/>
          <w:sz w:val="20"/>
        </w:rPr>
        <w:t>Deliverability:</w:t>
      </w:r>
      <w:r>
        <w:rPr>
          <w:rFonts w:ascii="Calibri" w:hAnsi="Calibri"/>
          <w:color w:val="1E293B"/>
          <w:sz w:val="20"/>
        </w:rPr>
        <w:t xml:space="preserve"> SPF/DKIM authenticated; instantaneous delivery to external Gmail inboxes.</w:t>
      </w:r>
    </w:p>
    <w:p>
      <w:pPr>
        <w:keepNext/>
        <w:spacing w:before="360" w:after="120"/>
      </w:pPr>
      <w:r>
        <w:rPr>
          <w:rFonts w:ascii="Georgia" w:hAnsi="Georgia"/>
          <w:b/>
          <w:color w:val="002B49"/>
          <w:sz w:val="28"/>
        </w:rPr>
        <w:t>9. Verification &amp; Audit Trail</w:t>
      </w:r>
    </w:p>
    <w:tbl>
      <w:tblPr>
        <w:tblW w:type="auto" w:w="0"/>
        <w:jc w:val="center"/>
        <w:tblLook w:firstColumn="1" w:firstRow="1" w:lastColumn="0" w:lastRow="0" w:noHBand="0" w:noVBand="1" w:val="04A0"/>
      </w:tblPr>
      <w:tblGrid>
        <w:gridCol w:w="9605"/>
      </w:tblGrid>
      <w:tr>
        <w:tc>
          <w:tcPr>
            <w:tcW w:type="dxa" w:w="9605"/>
            <w:shd w:fill="D4A017"/>
            <w:tcMar>
              <w:top w:w="5" w:type="dxa"/>
              <w:bottom w:w="5" w:type="dxa"/>
              <w:left w:w="0" w:type="dxa"/>
              <w:right w:w="0" w:type="dxa"/>
            </w:tcMar>
          </w:tcPr>
          <w:p>
            <w:pPr>
              <w:spacing w:before="0" w:after="0"/>
            </w:pPr>
            <w:r>
              <w:rPr>
                <w:sz w:val="2"/>
              </w:rPr>
            </w:r>
          </w:p>
        </w:tc>
      </w:tr>
    </w:tbl>
    <w:p>
      <w:pPr>
        <w:spacing w:before="80" w:after="40"/>
      </w:pP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Test Case</w:t>
            </w:r>
          </w:p>
        </w:tc>
        <w:tc>
          <w:tcPr>
            <w:tcW w:type="dxa" w:w="288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Scenario Tested</w:t>
            </w:r>
          </w:p>
        </w:tc>
        <w:tc>
          <w:tcPr>
            <w:tcW w:type="dxa" w:w="3744"/>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Expected Outcome</w:t>
            </w:r>
          </w:p>
        </w:tc>
        <w:tc>
          <w:tcPr>
            <w:tcW w:type="dxa" w:w="1440"/>
            <w:shd w:fill="002B49"/>
            <w:tcMar>
              <w:top w:w="100" w:type="dxa"/>
              <w:bottom w:w="100" w:type="dxa"/>
              <w:left w:w="120" w:type="dxa"/>
              <w:right w:w="120" w:type="dxa"/>
            </w:tcMar>
            <w:tcBorders>
              <w:top w:val="single" w:sz="6" w:space="0" w:color="002B49"/>
              <w:bottom w:val="single" w:sz="6" w:space="0" w:color="002B49"/>
              <w:left w:val="single" w:sz="4" w:space="0" w:color="1E3A8A"/>
              <w:right w:val="single" w:sz="4" w:space="0" w:color="1E3A8A"/>
            </w:tcBorders>
          </w:tcPr>
          <w:p>
            <w:pPr>
              <w:spacing w:after="0"/>
            </w:pPr>
            <w:r>
              <w:rPr>
                <w:rFonts w:ascii="Calibri" w:hAnsi="Calibri"/>
                <w:color w:val="FFFFFF"/>
                <w:sz w:val="18"/>
              </w:rPr>
              <w:t>Verification Status</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TC-01</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Visit review.davaoresearchjournal.ph without parameters</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Fullscreen solid navy backdrop; Reviewer Invitation Required gate displayed; zero template leakage.</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TC-02</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Open review link on smartphone (&lt; 1024px width)</w:t>
            </w:r>
          </w:p>
        </w:tc>
        <w:tc>
          <w:tcPr>
            <w:tcW w:type="dxa" w:w="374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Device Gate active; displays desktop requirement notice and 1-click clipboard copy button.</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TC-03</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Open review link on desktop with valid token</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Identity Verification Gate displayed; prompts for assigned email; manuscript concealed.</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TC-04</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Input wrong reviewer email</w:t>
            </w:r>
          </w:p>
        </w:tc>
        <w:tc>
          <w:tcPr>
            <w:tcW w:type="dxa" w:w="374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Access denied alert; manuscript remains cryptographically locked.</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TC-05</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Input correct reviewer email (support@manusci.com)</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Gate unlocks immediately; manuscript PDF / Word rendered; auto-save engine activates.</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TC-06</w:t>
            </w:r>
          </w:p>
        </w:tc>
        <w:tc>
          <w:tcPr>
            <w:tcW w:type="dxa" w:w="288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Review submission transmittal</w:t>
            </w:r>
          </w:p>
        </w:tc>
        <w:tc>
          <w:tcPr>
            <w:tcW w:type="dxa" w:w="3744"/>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OJS review_assignments updated (date_completed = NOW()); comments recorded; Certificate modal opens.</w:t>
            </w:r>
          </w:p>
        </w:tc>
        <w:tc>
          <w:tcPr>
            <w:tcW w:type="dxa" w:w="1440"/>
            <w:shd w:fill="F8FAFC"/>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r>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TC-07</w:t>
            </w:r>
          </w:p>
        </w:tc>
        <w:tc>
          <w:tcPr>
            <w:tcW w:type="dxa" w:w="288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Outbound Invitation Email</w:t>
            </w:r>
          </w:p>
        </w:tc>
        <w:tc>
          <w:tcPr>
            <w:tcW w:type="dxa" w:w="3744"/>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Dispatched through Resend SMTP port 465 SSL to external Gmail inbox without spam flagging.</w:t>
            </w:r>
          </w:p>
        </w:tc>
        <w:tc>
          <w:tcPr>
            <w:tcW w:type="dxa" w:w="1440"/>
            <w:shd w:fill="FFFFFF"/>
            <w:tcMar>
              <w:top w:w="80" w:type="dxa"/>
              <w:bottom w:w="8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7"/>
              </w:rPr>
              <w:t>PASSED</w:t>
            </w:r>
          </w:p>
        </w:tc>
      </w:tr>
    </w:tbl>
    <w:p>
      <w:pPr>
        <w:spacing w:after="120"/>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Technical Design Document  •  Official Institutional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color w:val="002B49"/>
        <w:sz w:val="16"/>
      </w:rPr>
      <w:t>DAVAO RESEARCH JOURNAL  •  DORSU PUBLICATION OFFICE</w:t>
      <w:br/>
    </w:r>
    <w:r>
      <w:rPr>
        <w:rFonts w:ascii="Calibri" w:hAnsi="Calibri"/>
        <w:color w:val="64748B"/>
        <w:sz w:val="15"/>
      </w:rPr>
      <w:t>ISSN: 2094-814X (Print) | ISSN: 2984-7540 (Online) | Official Institutional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