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3474720" cy="56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HeaderLogoImage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682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02B49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3"/>
              </w:rPr>
            </w:r>
          </w:p>
        </w:tc>
      </w:tr>
    </w:tbl>
    <w:p>
      <w:pPr>
        <w:spacing w:before="200" w:after="40"/>
      </w:pPr>
      <w:r>
        <w:rPr>
          <w:rFonts w:ascii="Georgia" w:hAnsi="Georgia"/>
          <w:b/>
          <w:color w:val="002B49"/>
          <w:sz w:val="36"/>
        </w:rPr>
        <w:t>TERMS OF REFERENCE (TOR) &amp; FINAL ACCEPTANCE REPORT</w:t>
      </w:r>
    </w:p>
    <w:p>
      <w:pPr>
        <w:spacing w:before="20" w:after="200"/>
      </w:pPr>
      <w:r>
        <w:rPr>
          <w:rFonts w:ascii="Georgia" w:hAnsi="Georgia"/>
          <w:i/>
          <w:color w:val="D4A017"/>
          <w:sz w:val="22"/>
        </w:rPr>
        <w:t>Davao Research Journal Modern Editorial Manager® Ecosystem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Project Title: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Technical Consultancy and Systems Development Services for the Davao Research Journal (DRJ) Modern Editorial Manager® Ecosystem</w:t>
            </w:r>
          </w:p>
        </w:tc>
      </w:tr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Procuring Entity / Client: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Davao Oriental State University (DORSU) — Publication and Research Office</w:t>
            </w:r>
          </w:p>
        </w:tc>
      </w:tr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Beneficiary Publication: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Davao Research Journal (DRJ) • ISSN: 2094-814X (Print), 2984-7540 (Online)</w:t>
            </w:r>
          </w:p>
        </w:tc>
      </w:tr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Contract Type: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Technical Consultancy &amp; Custom Software Engineering</w:t>
            </w:r>
          </w:p>
        </w:tc>
      </w:tr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Project Status: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100% Completed, Verified, and Deployed</w:t>
            </w:r>
          </w:p>
        </w:tc>
      </w:tr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Applicable Standard: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Commission on Higher Education (CHED) Journal Accreditations / Scopus / Web of Science Indexing Readiness Guidelines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1. Project Background and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Davao Oriental State University (DORSU), through the Davao Research Journal (DRJ), publishes high-impact multidisciplinary scientific papers. To meet international journal indexing benchmarks (Scopus, Web of Science, ASEAN Citation Index) and satisfy CHED research dissemination criteria, academic publishing systems must provide: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color w:val="1E293B"/>
          <w:sz w:val="20"/>
        </w:rPr>
        <w:t>High-speed, transparent peer review cycles.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color w:val="1E293B"/>
          <w:sz w:val="20"/>
        </w:rPr>
        <w:t>Uncompromised manuscript confidentiality and blind review integrity.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color w:val="1E293B"/>
          <w:sz w:val="20"/>
        </w:rPr>
        <w:t>Frictionless experience for international reviewers, authors, and editors.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 xml:space="preserve">This project has successfully delivered a </w:t>
      </w:r>
      <w:r>
        <w:rPr>
          <w:rFonts w:ascii="Calibri" w:hAnsi="Calibri"/>
          <w:b/>
          <w:color w:val="002B49"/>
          <w:sz w:val="20"/>
        </w:rPr>
        <w:t>complete 3-Module Editorial Suite</w:t>
      </w:r>
      <w:r>
        <w:rPr>
          <w:rFonts w:ascii="Calibri" w:hAnsi="Calibri"/>
          <w:color w:val="1E293B"/>
          <w:sz w:val="20"/>
        </w:rPr>
        <w:t xml:space="preserve"> integrating with DORSU's live OJS 3.4 installation, replacing cumbersome traditional reviewer forms with a high-end </w:t>
      </w:r>
      <w:r>
        <w:rPr>
          <w:rFonts w:ascii="Calibri" w:hAnsi="Calibri"/>
          <w:b/>
          <w:color w:val="002B49"/>
          <w:sz w:val="20"/>
        </w:rPr>
        <w:t>Aries Editorial Manager®</w:t>
      </w:r>
      <w:r>
        <w:rPr>
          <w:rFonts w:ascii="Calibri" w:hAnsi="Calibri"/>
          <w:color w:val="1E293B"/>
          <w:sz w:val="20"/>
        </w:rPr>
        <w:t xml:space="preserve"> experience.</w:t>
      </w: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2. Scope of Work &amp; Completed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All three (3) essential publishing modules have been verified and operationalized:</w:t>
      </w:r>
    </w:p>
    <w:p>
      <w:pPr>
        <w:keepNext/>
        <w:spacing w:before="280" w:after="80"/>
      </w:pPr>
      <w:r>
        <w:rPr>
          <w:rFonts w:ascii="Georgia" w:hAnsi="Georgia"/>
          <w:b/>
          <w:color w:val="002B49"/>
          <w:sz w:val="24"/>
        </w:rPr>
        <w:t>Module 1: Author Submission &amp; Tracking Module (Completed)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Live System URL: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color w:val="0F172A"/>
          <w:sz w:val="19"/>
        </w:rPr>
        <w:t>https://davaoresearchjournal.ph/index.php/drj/submission/wizard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Features Delivered: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Multi-step guided author submission wizard.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Automated file uploads (.docx, .pdf, supplementary data) with author checklist verification.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Real-time submission milestone tracking.</w:t>
      </w:r>
    </w:p>
    <w:p>
      <w:pPr>
        <w:keepNext/>
        <w:spacing w:before="280" w:after="80"/>
      </w:pPr>
      <w:r>
        <w:rPr>
          <w:rFonts w:ascii="Georgia" w:hAnsi="Georgia"/>
          <w:b/>
          <w:color w:val="002B49"/>
          <w:sz w:val="24"/>
        </w:rPr>
        <w:t>Module 2: Editorial Management &amp; Decision Hub (Completed)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Live System URL: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color w:val="0F172A"/>
          <w:sz w:val="19"/>
        </w:rPr>
        <w:t>https://davaoresearchjournal.ph/index.php/drj/workflow/index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Features Delivered: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Editorial triage and section editor assignment cockpit.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1-click reviewer search, assignment, and tracking.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Outbound email invitation delivery via </w:t>
      </w:r>
      <w:r>
        <w:rPr>
          <w:rFonts w:ascii="Calibri" w:hAnsi="Calibri"/>
          <w:b/>
          <w:color w:val="002B49"/>
          <w:sz w:val="20"/>
        </w:rPr>
        <w:t>Resend SMTP Relay (Port 465 SSL)</w:t>
      </w:r>
      <w:r>
        <w:rPr>
          <w:rFonts w:ascii="Calibri" w:hAnsi="Calibri"/>
          <w:color w:val="1E293B"/>
          <w:sz w:val="20"/>
        </w:rPr>
        <w:t xml:space="preserve"> bypassing VPS firewall blocks.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Multi-reviewer recommendation collation and decision dispatch (Accept, Minor, Major, Reject).</w:t>
      </w:r>
    </w:p>
    <w:p>
      <w:pPr>
        <w:keepNext/>
        <w:spacing w:before="280" w:after="80"/>
      </w:pPr>
      <w:r>
        <w:rPr>
          <w:rFonts w:ascii="Georgia" w:hAnsi="Georgia"/>
          <w:b/>
          <w:color w:val="002B49"/>
          <w:sz w:val="24"/>
        </w:rPr>
        <w:t>Module 3: Aries Editorial Manager® Reviewer Workspace (Completed)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Live System URL: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color w:val="0F172A"/>
          <w:sz w:val="19"/>
        </w:rPr>
        <w:t>https://review.davaoresearchjournal.ph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Features Delivered: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1. </w:t>
      </w:r>
      <w:r>
        <w:rPr>
          <w:rFonts w:ascii="Calibri" w:hAnsi="Calibri"/>
          <w:b/>
          <w:color w:val="002B49"/>
          <w:sz w:val="20"/>
        </w:rPr>
        <w:t>Split-Screen Workspace:</w:t>
      </w:r>
      <w:r>
        <w:rPr>
          <w:rFonts w:ascii="Calibri" w:hAnsi="Calibri"/>
          <w:color w:val="1E293B"/>
          <w:sz w:val="20"/>
        </w:rPr>
        <w:t xml:space="preserve"> Drag-resizable dual split-pane interface synchronizing manuscript document reading and evaluation rubric scoring.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2. </w:t>
      </w:r>
      <w:r>
        <w:rPr>
          <w:rFonts w:ascii="Calibri" w:hAnsi="Calibri"/>
          <w:b/>
          <w:color w:val="002B49"/>
          <w:sz w:val="20"/>
        </w:rPr>
        <w:t>Scientific Rubric &amp; Compliance Questionnaire:</w:t>
      </w:r>
      <w:r>
        <w:rPr>
          <w:rFonts w:ascii="Calibri" w:hAnsi="Calibri"/>
          <w:color w:val="1E293B"/>
          <w:sz w:val="20"/>
        </w:rPr>
        <w:t xml:space="preserve"> 5-point Likert evaluation matrix across five scientific standards; compliance radios for statistical integrity, writing clarity, and conflicts of interest.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3. </w:t>
      </w:r>
      <w:r>
        <w:rPr>
          <w:rFonts w:ascii="Calibri" w:hAnsi="Calibri"/>
          <w:b/>
          <w:color w:val="002B49"/>
          <w:sz w:val="20"/>
        </w:rPr>
        <w:t>Dual-Tier Feedback Isolation:</w:t>
      </w:r>
      <w:r>
        <w:rPr>
          <w:rFonts w:ascii="Calibri" w:hAnsi="Calibri"/>
          <w:color w:val="1E293B"/>
          <w:sz w:val="20"/>
        </w:rPr>
        <w:t xml:space="preserve"> Database-level isolation between Blinded Author Feedback and Confidential Editor Comments.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4. </w:t>
      </w:r>
      <w:r>
        <w:rPr>
          <w:rFonts w:ascii="Calibri" w:hAnsi="Calibri"/>
          <w:b/>
          <w:color w:val="002B49"/>
          <w:sz w:val="20"/>
        </w:rPr>
        <w:t>Triple Zero-Trust Security Gates:</w:t>
      </w:r>
    </w:p>
    <w:p>
      <w:pPr>
        <w:pStyle w:val="ListBullet"/>
        <w:spacing w:before="0" w:after="60"/>
        <w:ind w:left="1080"/>
      </w:pPr>
      <w:r>
        <w:rPr>
          <w:rFonts w:ascii="Calibri" w:hAnsi="Calibri"/>
          <w:i/>
          <w:color w:val="1E293B"/>
          <w:sz w:val="20"/>
        </w:rPr>
        <w:t>Device Gate:</w:t>
      </w:r>
      <w:r>
        <w:rPr>
          <w:rFonts w:ascii="Calibri" w:hAnsi="Calibri"/>
          <w:color w:val="1E293B"/>
          <w:sz w:val="20"/>
        </w:rPr>
        <w:t xml:space="preserve"> Automatic detection and blocking of smartphone viewports (&lt; 1024px) with clipboard link copy functionality.</w:t>
      </w:r>
    </w:p>
    <w:p>
      <w:pPr>
        <w:pStyle w:val="ListBullet"/>
        <w:spacing w:before="0" w:after="60"/>
        <w:ind w:left="1080"/>
      </w:pPr>
      <w:r>
        <w:rPr>
          <w:rFonts w:ascii="Calibri" w:hAnsi="Calibri"/>
          <w:i/>
          <w:color w:val="1E293B"/>
          <w:sz w:val="20"/>
        </w:rPr>
        <w:t>Direct Access Gate:</w:t>
      </w:r>
      <w:r>
        <w:rPr>
          <w:rFonts w:ascii="Calibri" w:hAnsi="Calibri"/>
          <w:color w:val="1E293B"/>
          <w:sz w:val="20"/>
        </w:rPr>
        <w:t xml:space="preserve"> Frame-0 solid </w:t>
      </w:r>
      <w:r>
        <w:rPr>
          <w:rFonts w:ascii="Consolas" w:hAnsi="Consolas"/>
          <w:color w:val="0F172A"/>
          <w:sz w:val="19"/>
        </w:rPr>
        <w:t>#00172B</w:t>
      </w:r>
      <w:r>
        <w:rPr>
          <w:rFonts w:ascii="Calibri" w:hAnsi="Calibri"/>
          <w:color w:val="1E293B"/>
          <w:sz w:val="20"/>
        </w:rPr>
        <w:t xml:space="preserve"> backdrop blocking unauthenticated domain snooping.</w:t>
      </w:r>
    </w:p>
    <w:p>
      <w:pPr>
        <w:pStyle w:val="ListBullet"/>
        <w:spacing w:before="0" w:after="60"/>
        <w:ind w:left="1080"/>
      </w:pPr>
      <w:r>
        <w:rPr>
          <w:rFonts w:ascii="Calibri" w:hAnsi="Calibri"/>
          <w:i/>
          <w:color w:val="1E293B"/>
          <w:sz w:val="20"/>
        </w:rPr>
        <w:t>Email Verification Gate:</w:t>
      </w:r>
      <w:r>
        <w:rPr>
          <w:rFonts w:ascii="Calibri" w:hAnsi="Calibri"/>
          <w:color w:val="1E293B"/>
          <w:sz w:val="20"/>
        </w:rPr>
        <w:t xml:space="preserve"> Cryptographic HMAC-SHA256 signature binding with mandatory email identity verification.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5. </w:t>
      </w:r>
      <w:r>
        <w:rPr>
          <w:rFonts w:ascii="Calibri" w:hAnsi="Calibri"/>
          <w:b/>
          <w:color w:val="002B49"/>
          <w:sz w:val="20"/>
        </w:rPr>
        <w:t>Reviewer File Attachments:</w:t>
      </w:r>
      <w:r>
        <w:rPr>
          <w:rFonts w:ascii="Calibri" w:hAnsi="Calibri"/>
          <w:color w:val="1E293B"/>
          <w:sz w:val="20"/>
        </w:rPr>
        <w:t xml:space="preserve"> Reviewers can upload marked-up manuscripts (.docx, .pdf) with track-changes.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6. </w:t>
      </w:r>
      <w:r>
        <w:rPr>
          <w:rFonts w:ascii="Calibri" w:hAnsi="Calibri"/>
          <w:b/>
          <w:color w:val="002B49"/>
          <w:sz w:val="20"/>
        </w:rPr>
        <w:t>Printable Official Certificate of Reviewing:</w:t>
      </w:r>
      <w:r>
        <w:rPr>
          <w:rFonts w:ascii="Calibri" w:hAnsi="Calibri"/>
          <w:color w:val="1E293B"/>
          <w:sz w:val="20"/>
        </w:rPr>
        <w:t xml:space="preserve"> Automated generation of formal </w:t>
      </w:r>
      <w:r>
        <w:rPr>
          <w:rFonts w:ascii="Calibri" w:hAnsi="Calibri"/>
          <w:b/>
          <w:color w:val="002B49"/>
          <w:sz w:val="20"/>
        </w:rPr>
        <w:t>Certificate of Peer Review Recognition</w:t>
      </w:r>
      <w:r>
        <w:rPr>
          <w:rFonts w:ascii="Calibri" w:hAnsi="Calibri"/>
          <w:color w:val="1E293B"/>
          <w:sz w:val="20"/>
        </w:rPr>
        <w:t xml:space="preserve"> bearing institutional publication credentials and DRJ seal.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7. </w:t>
      </w:r>
      <w:r>
        <w:rPr>
          <w:rFonts w:ascii="Calibri" w:hAnsi="Calibri"/>
          <w:b/>
          <w:color w:val="002B49"/>
          <w:sz w:val="20"/>
        </w:rPr>
        <w:t>OJS 3.4 Generic Plugin:</w:t>
      </w:r>
      <w:r>
        <w:rPr>
          <w:rFonts w:ascii="Calibri" w:hAnsi="Calibri"/>
          <w:color w:val="1E293B"/>
          <w:sz w:val="20"/>
        </w:rPr>
        <w:t xml:space="preserve"> Deployed in OJS at </w:t>
      </w:r>
      <w:r>
        <w:rPr>
          <w:rFonts w:ascii="Consolas" w:hAnsi="Consolas"/>
          <w:color w:val="0F172A"/>
          <w:sz w:val="19"/>
        </w:rPr>
        <w:t>plugins/generic/editorialManagerReview</w:t>
      </w:r>
      <w:r>
        <w:rPr>
          <w:rFonts w:ascii="Calibri" w:hAnsi="Calibri"/>
          <w:color w:val="1E293B"/>
          <w:sz w:val="20"/>
        </w:rPr>
        <w:t xml:space="preserve"> registering </w:t>
      </w:r>
      <w:r>
        <w:rPr>
          <w:rFonts w:ascii="Consolas" w:hAnsi="Consolas"/>
          <w:color w:val="0F172A"/>
          <w:sz w:val="19"/>
        </w:rPr>
        <w:t>index.php/drj/reviewer-portal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3. Technical Deliverables and Acceptance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160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Deliverable</w:t>
            </w:r>
          </w:p>
        </w:tc>
        <w:tc>
          <w:tcPr>
            <w:tcW w:type="dxa" w:w="3168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Detailed Requirements</w:t>
            </w:r>
          </w:p>
        </w:tc>
        <w:tc>
          <w:tcPr>
            <w:tcW w:type="dxa" w:w="2880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Verification &amp; Acceptance Standard</w:t>
            </w:r>
          </w:p>
        </w:tc>
        <w:tc>
          <w:tcPr>
            <w:tcW w:type="dxa" w:w="1440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D1: Author Module (Module 1)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Guided submission wizard, metadata capture, file upload, status tracker.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Operational in OJS 3.4 core at davaoresearchjournal.ph.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VERIFIED &amp; ACCEPTED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D2: Editorial Hub (Module 2)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Desk triage, reviewer assignment, decision dispatcher.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Operational in OJS 3.4 core at davaoresearchjournal.ph.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VERIFIED &amp; ACCEPTED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D3: Reviewer Portal (Module 3)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DRJ Adaptive Reactive Workstation Client deployed at review.davaoresearchjournal.ph.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Verified live on production server with zero build warnings; all 3 security gates active.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VERIFIED &amp; ACCEPTED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D4: REST API &amp; Security Bridge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8.2 API (api.php) with PDO connection to OJS database (drj2024_35beta).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Cryptographic HMAC-SHA256 validation confirmed; unauthorized access rejected.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VERIFIED &amp; ACCEPTED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D5: Outbound SMTP Integration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Resend SMTP Relay integrated over Port 465 SSL in config.inc.php.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Invitation emails delivered directly to external Gmail/academic inboxes without spam flagging.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VERIFIED &amp; ACCEPTED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D6: OJS 3.4 Generic Plugin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editorialManagerReview generic plugin installed in OJS.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Registered in OJS Plugin Gallery; hooks into LoadHandler for URL routing.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VERIFIED &amp; ACCEPTED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D7: Technical Documentation &amp; Code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Full TDD, architectural diagrams, Proposal, and GitHub repository.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Clean commit history and comprehensive documentation on GitHub.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VERIFIED &amp; ACCEPTED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4. Intellectual Property &amp; Code Ownership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p>
      <w:pPr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 xml:space="preserve">1. </w:t>
      </w:r>
      <w:r>
        <w:rPr>
          <w:rFonts w:ascii="Calibri" w:hAnsi="Calibri"/>
          <w:b/>
          <w:color w:val="002B49"/>
          <w:sz w:val="20"/>
        </w:rPr>
        <w:t>Institutional Ownership:</w:t>
      </w:r>
      <w:r>
        <w:rPr>
          <w:rFonts w:ascii="Calibri" w:hAnsi="Calibri"/>
          <w:color w:val="1E293B"/>
          <w:sz w:val="20"/>
        </w:rPr>
        <w:t xml:space="preserve"> All custom code, plugins, templates, and configurations developed under this contract are the property of </w:t>
      </w:r>
      <w:r>
        <w:rPr>
          <w:rFonts w:ascii="Calibri" w:hAnsi="Calibri"/>
          <w:b/>
          <w:color w:val="002B49"/>
          <w:sz w:val="20"/>
        </w:rPr>
        <w:t>Davao Oriental State University (DORSU)</w:t>
      </w:r>
      <w:r>
        <w:rPr>
          <w:rFonts w:ascii="Calibri" w:hAnsi="Calibri"/>
          <w:color w:val="1E293B"/>
          <w:sz w:val="20"/>
        </w:rPr>
        <w:t xml:space="preserve"> and the </w:t>
      </w:r>
      <w:r>
        <w:rPr>
          <w:rFonts w:ascii="Calibri" w:hAnsi="Calibri"/>
          <w:b/>
          <w:color w:val="002B49"/>
          <w:sz w:val="20"/>
        </w:rPr>
        <w:t>Davao Research Journal (DRJ)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 xml:space="preserve">2. </w:t>
      </w:r>
      <w:r>
        <w:rPr>
          <w:rFonts w:ascii="Calibri" w:hAnsi="Calibri"/>
          <w:b/>
          <w:color w:val="002B49"/>
          <w:sz w:val="20"/>
        </w:rPr>
        <w:t>Open-Source Compliance:</w:t>
      </w:r>
      <w:r>
        <w:rPr>
          <w:rFonts w:ascii="Calibri" w:hAnsi="Calibri"/>
          <w:color w:val="1E293B"/>
          <w:sz w:val="20"/>
        </w:rPr>
        <w:t xml:space="preserve"> In accordance with OJS licensing, the custom software is governed by the </w:t>
      </w:r>
      <w:r>
        <w:rPr>
          <w:rFonts w:ascii="Calibri" w:hAnsi="Calibri"/>
          <w:b/>
          <w:color w:val="002B49"/>
          <w:sz w:val="20"/>
        </w:rPr>
        <w:t>GNU General Public License v3.0 (GPLv3)</w:t>
      </w:r>
      <w:r>
        <w:rPr>
          <w:rFonts w:ascii="Calibri" w:hAnsi="Calibri"/>
          <w:color w:val="1E293B"/>
          <w:sz w:val="20"/>
        </w:rPr>
        <w:t>, granting DORSU perpetual, royalty-free rights to modify, deploy, and maintain the software indefinitely.</w:t>
      </w: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5. Summary of Commercial Value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880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Milestone / Deliverable</w:t>
            </w:r>
          </w:p>
        </w:tc>
        <w:tc>
          <w:tcPr>
            <w:tcW w:type="dxa" w:w="3600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Scope</w:t>
            </w:r>
          </w:p>
        </w:tc>
        <w:tc>
          <w:tcPr>
            <w:tcW w:type="dxa" w:w="1296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Contract Amount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1: Author Submission Module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Multi-step submission wizard, file upload, live status tracking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Complete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140,000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2: Editorial Management Hub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Desk triage, reviewer assignment, Resend SMTP relay, decisions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Complete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180,000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3: Peer Review Workstation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DRJ Reactive Workstation Core, Dual Split Panes, Triple Security Gates, Certificate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Complete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160,000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Integration &amp; Verification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End-to-end integration, database consistency, Resend SMTP tuning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Complete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60,000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TOTAL CONTRACT VALUE: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Complete 3-Module Modernization Suite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100% Complete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540,000 (~$9,300 USD)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6. Warranty, Support &amp; Service Level Agreement (SLA)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Warranty Period:</w:t>
      </w:r>
      <w:r>
        <w:rPr>
          <w:rFonts w:ascii="Calibri" w:hAnsi="Calibri"/>
          <w:color w:val="1E293B"/>
          <w:sz w:val="20"/>
        </w:rPr>
        <w:t xml:space="preserve"> Six (6) months of warranty support commencing from the date of final system acceptance.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Scope of Warranty:</w:t>
      </w:r>
      <w:r>
        <w:rPr>
          <w:rFonts w:ascii="Calibri" w:hAnsi="Calibri"/>
          <w:color w:val="1E293B"/>
          <w:sz w:val="20"/>
        </w:rPr>
        <w:t xml:space="preserve"> Rapid resolution of any software defects, bugs, regression issues resulting from OJS minor updates, or email deliverability adjustments.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Response Times:</w:t>
      </w:r>
    </w:p>
    <w:p>
      <w:pPr>
        <w:pStyle w:val="ListBullet"/>
        <w:spacing w:before="0" w:after="60"/>
        <w:ind w:left="720"/>
      </w:pPr>
      <w:r>
        <w:rPr>
          <w:rFonts w:ascii="Calibri" w:hAnsi="Calibri"/>
          <w:i/>
          <w:color w:val="1E293B"/>
          <w:sz w:val="20"/>
        </w:rPr>
        <w:t>Critical (System Outage / Review Blocked):</w:t>
      </w:r>
      <w:r>
        <w:rPr>
          <w:rFonts w:ascii="Calibri" w:hAnsi="Calibri"/>
          <w:color w:val="1E293B"/>
          <w:sz w:val="20"/>
        </w:rPr>
        <w:t xml:space="preserve"> Response within 4 hours; resolution within 24 hours.</w:t>
      </w:r>
    </w:p>
    <w:p>
      <w:pPr>
        <w:pStyle w:val="ListBullet"/>
        <w:spacing w:before="0" w:after="60"/>
        <w:ind w:left="720"/>
      </w:pPr>
      <w:r>
        <w:rPr>
          <w:rFonts w:ascii="Calibri" w:hAnsi="Calibri"/>
          <w:i/>
          <w:color w:val="1E293B"/>
          <w:sz w:val="20"/>
        </w:rPr>
        <w:t>Standard (Minor UI / Enhancement Requests):</w:t>
      </w:r>
      <w:r>
        <w:rPr>
          <w:rFonts w:ascii="Calibri" w:hAnsi="Calibri"/>
          <w:color w:val="1E293B"/>
          <w:sz w:val="20"/>
        </w:rPr>
        <w:t xml:space="preserve"> Response within 24 hours; resolution within 72 hours.</w:t>
      </w: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7. Conforme &amp;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p>
      <w:pPr>
        <w:spacing w:before="0" w:after="120" w:line="276" w:lineRule="auto"/>
      </w:pPr>
      <w:r>
        <w:rPr>
          <w:rFonts w:ascii="Calibri" w:hAnsi="Calibri"/>
          <w:b/>
          <w:color w:val="002B49"/>
          <w:sz w:val="20"/>
        </w:rPr>
        <w:t>CONSULTANT / SOFTWARE ARCHITECT: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2B49"/>
          <w:sz w:val="20"/>
        </w:rPr>
        <w:t>DARRYL M. NUYDA</w:t>
      </w:r>
      <w:r>
        <w:rPr>
          <w:rFonts w:ascii="Calibri" w:hAnsi="Calibri"/>
          <w:color w:val="1E293B"/>
          <w:sz w:val="20"/>
        </w:rPr>
        <w:br/>
        <w:t>Lead Software Architect &amp; Solutions Engineer</w:t>
        <w:br/>
        <w:t>Date: October 25, 2026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br/>
      </w:r>
      <w:r>
        <w:rPr>
          <w:rFonts w:ascii="Calibri" w:hAnsi="Calibri"/>
          <w:b/>
          <w:color w:val="002B49"/>
          <w:sz w:val="20"/>
        </w:rPr>
        <w:t>FOR THE PROCURING ENTITY (DORSU / DRJ):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202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0" w:after="40"/>
            </w:pPr>
            <w:r>
              <w:rPr>
                <w:rFonts w:ascii="Calibri" w:hAnsi="Calibri"/>
                <w:color w:val="64748B"/>
                <w:sz w:val="19"/>
              </w:rPr>
              <w:t>____________________________________</w:t>
              <w:br/>
            </w:r>
            <w:r>
              <w:t>**EDITOR-IN-CHIEF**</w:t>
              <w:br/>
            </w:r>
            <w:r>
              <w:rPr>
                <w:rFonts w:ascii="Calibri" w:hAnsi="Calibri"/>
                <w:b/>
                <w:color w:val="002B49"/>
                <w:sz w:val="19"/>
              </w:rPr>
              <w:t>EDITOR-IN-CHIEF</w:t>
            </w:r>
            <w:r>
              <w:rPr>
                <w:rFonts w:ascii="Calibri" w:hAnsi="Calibri"/>
                <w:color w:val="1E293B"/>
                <w:sz w:val="19"/>
              </w:rPr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Davao Research Journal</w:t>
              <w:br/>
              <w:t>Davao Oriental State University</w:t>
              <w:br/>
              <w:t>Date: ______________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0" w:after="40"/>
            </w:pPr>
            <w:r>
              <w:rPr>
                <w:rFonts w:ascii="Calibri" w:hAnsi="Calibri"/>
                <w:color w:val="64748B"/>
                <w:sz w:val="19"/>
              </w:rPr>
              <w:t>____________________________________</w:t>
              <w:br/>
            </w:r>
            <w:r>
              <w:t>**VP FOR RESEARCH, EXTENSION &amp; INNOVATION**</w:t>
              <w:br/>
            </w:r>
            <w:r>
              <w:rPr>
                <w:rFonts w:ascii="Calibri" w:hAnsi="Calibri"/>
                <w:b/>
                <w:color w:val="002B49"/>
                <w:sz w:val="19"/>
              </w:rPr>
              <w:t>VP FOR RESEARCH, EXTENSION &amp; INNOVATION</w:t>
            </w:r>
            <w:r>
              <w:rPr>
                <w:rFonts w:ascii="Calibri" w:hAnsi="Calibri"/>
                <w:color w:val="1E293B"/>
                <w:sz w:val="19"/>
              </w:rPr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Research &amp; Extension Office</w:t>
              <w:br/>
              <w:t>Davao Oriental State University</w:t>
              <w:br/>
              <w:t>Date: ______________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0" w:after="40"/>
            </w:pPr>
            <w:r>
              <w:rPr>
                <w:rFonts w:ascii="Calibri" w:hAnsi="Calibri"/>
                <w:color w:val="64748B"/>
                <w:sz w:val="19"/>
              </w:rPr>
              <w:t>____________________________________</w:t>
              <w:br/>
            </w:r>
            <w:r>
              <w:t>**UNIVERSITY PRESIDENT**</w:t>
              <w:br/>
            </w:r>
            <w:r>
              <w:rPr>
                <w:rFonts w:ascii="Calibri" w:hAnsi="Calibri"/>
                <w:b/>
                <w:color w:val="002B49"/>
                <w:sz w:val="19"/>
              </w:rPr>
              <w:t>UNIVERSITY PRESIDENT</w:t>
            </w:r>
            <w:r>
              <w:rPr>
                <w:rFonts w:ascii="Calibri" w:hAnsi="Calibri"/>
                <w:color w:val="1E293B"/>
                <w:sz w:val="19"/>
              </w:rPr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Office of the President</w:t>
              <w:br/>
              <w:t>Davao Oriental State University</w:t>
              <w:br/>
              <w:t>Date: ______________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6"/>
      </w:rPr>
      <w:t>Terms of Reference (TOR)  •  Official Institutional Copy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b/>
        <w:color w:val="002B49"/>
        <w:sz w:val="16"/>
      </w:rPr>
      <w:t>DAVAO RESEARCH JOURNAL  •  DORSU PUBLICATION OFFICE</w:t>
      <w:br/>
    </w:r>
    <w:r>
      <w:rPr>
        <w:rFonts w:ascii="Calibri" w:hAnsi="Calibri"/>
        <w:color w:val="64748B"/>
        <w:sz w:val="15"/>
      </w:rPr>
      <w:t>ISSN: 2094-814X (Print) | ISSN: 2984-7540 (Online) | Official Institutional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