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 w:eastAsia="黑体"/>
          <w:b/>
          <w:sz w:val="56"/>
        </w:rPr>
        <w:t>概要设计说明书</w:t>
      </w:r>
    </w:p>
    <w:p>
      <w:pPr>
        <w:jc w:val="center"/>
      </w:pPr>
      <w:r>
        <w:rPr>
          <w:rFonts w:ascii="黑体" w:hAnsi="黑体" w:eastAsia="黑体"/>
          <w:b/>
          <w:color w:val="1F4E78"/>
          <w:sz w:val="32"/>
        </w:rPr>
        <w:t>东软电动汽车充电桩应用管理平台 · 第十一组</w:t>
      </w:r>
    </w:p>
    <w:p>
      <w:r>
        <w:br w:type="page"/>
      </w:r>
    </w:p>
    <w:p>
      <w:pPr>
        <w:pStyle w:val="Heading1"/>
      </w:pPr>
      <w:r>
        <w:t>1 文档概述</w:t>
      </w:r>
    </w:p>
    <w:p>
      <w:pPr>
        <w:pStyle w:val="Heading2"/>
      </w:pPr>
      <w:r>
        <w:t>1.1 文档目的和范围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本文档说明电动汽车充电桩应用管理平台后端核心的总体结构、模块职责、数据定义和主要接口，供后续客户端接入、详细设计和联调参考。范围包括 FastAPI 服务与本地 PostgreSQL 14，不包括 Qt/Web 界面和机器学习训练。</w:t>
      </w:r>
    </w:p>
    <w:p>
      <w:pPr>
        <w:pStyle w:val="Heading2"/>
      </w:pPr>
      <w:r>
        <w:t>1.2 术语/缩略语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术语/缩略语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API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应用程序编程接口</w:t>
            </w:r>
          </w:p>
        </w:tc>
      </w:tr>
      <w:tr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JWT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用于携带用户或管理员身份的访问令牌</w:t>
            </w:r>
          </w:p>
        </w:tc>
      </w:tr>
    </w:tbl>
    <w:p/>
    <w:p>
      <w:pPr>
        <w:pStyle w:val="Heading2"/>
      </w:pPr>
      <w:r>
        <w:t>1.3 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文档名</w:t>
            </w:r>
          </w:p>
        </w:tc>
        <w:tc>
          <w:tcPr>
            <w:tcW w:type="dxa" w:w="18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18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3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83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需求分析评审汇报2(1)(2).pdf</w:t>
            </w:r>
          </w:p>
        </w:tc>
        <w:tc>
          <w:tcPr>
            <w:tcW w:type="dxa" w:w="183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第十一组</w:t>
            </w:r>
          </w:p>
        </w:tc>
        <w:tc>
          <w:tcPr>
            <w:tcW w:type="dxa" w:w="183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2026-09-04</w:t>
            </w:r>
          </w:p>
        </w:tc>
        <w:tc>
          <w:tcPr>
            <w:tcW w:type="dxa" w:w="183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1837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837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01-需求规格说明书.md</w:t>
            </w:r>
          </w:p>
        </w:tc>
        <w:tc>
          <w:tcPr>
            <w:tcW w:type="dxa" w:w="1837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第十一组</w:t>
            </w:r>
          </w:p>
        </w:tc>
        <w:tc>
          <w:tcPr>
            <w:tcW w:type="dxa" w:w="1837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2026-09-04</w:t>
            </w:r>
          </w:p>
        </w:tc>
        <w:tc>
          <w:tcPr>
            <w:tcW w:type="dxa" w:w="1837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</w:tr>
    </w:tbl>
    <w:p/>
    <w:p>
      <w:pPr>
        <w:pStyle w:val="Heading1"/>
      </w:pPr>
      <w:r>
        <w:t>2 系统结构图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系统采用模块化单体结构。客户端仅通过 REST API 和 WebSocket 访问 FastAPI；账户、充电、管理和事件模块统一读写本地 PostgreSQL 14，数据库是余额、订单和电桩状态的唯一事实来源。</w:t>
      </w:r>
    </w:p>
    <w:p>
      <w:r>
        <w:drawing>
          <wp:inline xmlns:a="http://schemas.openxmlformats.org/drawingml/2006/main" xmlns:pic="http://schemas.openxmlformats.org/drawingml/2006/picture">
            <wp:extent cx="5760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图2-1 系统结构图</w:t>
      </w:r>
    </w:p>
    <w:p>
      <w:pPr>
        <w:pStyle w:val="Heading1"/>
      </w:pPr>
      <w:r>
        <w:t>3 模块详细概述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后端核心模块负责身份认证、账户与钱包、充电状态流转、管理运维、统计查询和实时事件，所有关键写操作在数据库事务中完成。</w:t>
      </w:r>
    </w:p>
    <w:p>
      <w:pPr>
        <w:pStyle w:val="Heading2"/>
      </w:pPr>
      <w:r>
        <w:t>3.1 后端核心模块</w:t>
      </w:r>
    </w:p>
    <w:p>
      <w:pPr>
        <w:pStyle w:val="Heading3"/>
      </w:pPr>
      <w:r>
        <w:t>3.1.1 模块功能定义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功能点详细内容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用户与账户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验证码登录、JWT、资料、充值及历史查询</w:t>
            </w:r>
          </w:p>
        </w:tc>
      </w:tr>
      <w:tr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充电闭环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预约、开始、计费、取消、停止和自动结算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管理运维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用户、站点、电桩、订单、营收统计和操作审计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表3-1 模块功能描述</w:t>
      </w:r>
    </w:p>
    <w:p>
      <w:pPr>
        <w:pStyle w:val="Heading3"/>
      </w:pPr>
      <w:r>
        <w:t>3.1.2 模块结构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图3-1 后端核心模块结构图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模块类型</w:t>
            </w:r>
          </w:p>
        </w:tc>
        <w:tc>
          <w:tcPr>
            <w:tcW w:type="dxa" w:w="30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概要说明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API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请求校验、身份鉴权、REST/WebSocket 协议</w:t>
            </w:r>
          </w:p>
        </w:tc>
      </w:tr>
      <w:tr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AccountService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内部模块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认证、账户、钱包与历史查询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ChargingService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内部模块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充电订单状态机、计费和结算</w:t>
            </w:r>
          </w:p>
        </w:tc>
      </w:tr>
      <w:tr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AdminService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内部模块</w:t>
            </w:r>
          </w:p>
        </w:tc>
        <w:tc>
          <w:tcPr>
            <w:tcW w:type="dxa" w:w="3061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后台管理、统计和运维审计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模块动作时序图：以下时序描述一次正常预约、启动和结算过程中各模块的调用关系。</w:t>
      </w:r>
    </w:p>
    <w:p>
      <w:r>
        <w:drawing>
          <wp:inline xmlns:a="http://schemas.openxmlformats.org/drawingml/2006/main" xmlns:pic="http://schemas.openxmlformats.org/drawingml/2006/picture">
            <wp:extent cx="5760000" cy="3557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图3-2 充电业务动作时序图</w:t>
      </w:r>
    </w:p>
    <w:p>
      <w:pPr>
        <w:pStyle w:val="Heading1"/>
      </w:pPr>
      <w:r>
        <w:t>4 接口说明</w:t>
      </w:r>
    </w:p>
    <w:p>
      <w:pPr>
        <w:pStyle w:val="Heading2"/>
      </w:pPr>
      <w:r>
        <w:t>4.1 数据结构定义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OrderStatus：reserved、charging、completed、cancelled；ChargerStatus：available、reserved、charging、faulted；金额采用 numeric(12,2)，电量采用 numeric(14,6)，时间统一使用带时区时间戳；DomainEvent 由 id、event_type、payload、created_at 和受众字段组成。</w:t>
      </w:r>
    </w:p>
    <w:p>
      <w:pPr>
        <w:pStyle w:val="Heading2"/>
      </w:pPr>
      <w:r>
        <w:t>4.2 函数</w:t>
      </w:r>
    </w:p>
    <w:p>
      <w:pPr>
        <w:pStyle w:val="Heading3"/>
      </w:pPr>
      <w:r>
        <w:t>4.2.1 模块间接口函数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函数名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ChargingService.reserve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文件名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src/charging_core/service.py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预约空闲电桩并创建活动订单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记述形式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async reserve(user_id, charger_id, key) -&gt; dict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user_id：用户UUID；charger_id：电桩UUID；key：幂等UUID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返回值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订单快照；冲突时返回领域错误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详细说明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事务内锁定用户和电桩，检查余额与活动订单，写入订单、电桩状态和领域事件。</w:t>
            </w:r>
          </w:p>
        </w:tc>
      </w:tr>
    </w:tbl>
    <w:p/>
    <w:p>
      <w:pPr>
        <w:pStyle w:val="Heading3"/>
      </w:pPr>
      <w:r>
        <w:t>4.2.2 模块内接口函数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函数名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ChargingService._settle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文件名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src/charging_core/service.py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完成充电费用计算和原子结算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记述形式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async _settle(order_id, expected_user_id, reason) -&gt; dict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order_id：订单UUID；expected_user_id：所属用户；reason：停止原因</w:t>
            </w:r>
          </w:p>
        </w:tc>
      </w:tr>
      <w:tr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返回值</w:t>
            </w:r>
          </w:p>
        </w:tc>
        <w:tc>
          <w:tcPr>
            <w:tcW w:type="dxa" w:w="459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完成后的订单快照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详细说明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依据服务端时间计算电量和费用，在一个事务内更新订单、用户余额、钱包流水、电桩及完成事件；余额不足时按可支付截止时间结算。</w:t>
            </w:r>
          </w:p>
        </w:tc>
      </w:tr>
    </w:tbl>
    <w:p/>
    <w:sectPr w:rsidR="00FC693F" w:rsidRPr="0006063C" w:rsidSect="00034616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东软电动汽车充电桩应用管理平台概要设计说明书</dc:title>
  <dc:subject/>
  <dc:creator>第十一组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