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C321E" w14:textId="1F94ED0C" w:rsidR="00902274" w:rsidRPr="00F468C6" w:rsidRDefault="00F468C6" w:rsidP="00F468C6">
      <w:pPr>
        <w:spacing w:after="1000"/>
        <w:rPr>
          <w:b/>
          <w:caps/>
          <w:color w:val="6557D9"/>
          <w:sz w:val="18"/>
        </w:rPr>
      </w:pPr>
      <w:r w:rsidRPr="00F468C6">
        <w:rPr>
          <w:b/>
          <w:caps/>
          <w:color w:val="6557D9"/>
          <w:sz w:val="18"/>
        </w:rPr>
        <w:t>PROJECT DOCUMENTATION</w:t>
      </w:r>
    </w:p>
    <w:p w14:paraId="10A8320E" w14:textId="2A8AC2AA" w:rsidR="00F468C6" w:rsidRPr="00F468C6" w:rsidRDefault="00F468C6" w:rsidP="00F468C6">
      <w:pPr>
        <w:pStyle w:val="Title"/>
        <w:spacing w:after="300"/>
      </w:pPr>
      <w:r>
        <w:t>Northstar Fintech Risk Operations Project Guide</w:t>
      </w:r>
    </w:p>
    <w:p w14:paraId="2C53EBD3" w14:textId="1338C8B2" w:rsidR="00F468C6" w:rsidRPr="00F468C6" w:rsidRDefault="00F468C6" w:rsidP="00F468C6">
      <w:pPr>
        <w:pStyle w:val="Subtitle"/>
        <w:spacing w:after="520"/>
      </w:pPr>
      <w:r>
        <w:t>A simple explanation of the business problem, user workflow, technology, and lessons from real financial incidents</w:t>
      </w:r>
    </w:p>
    <w:p w14:paraId="3A7AC733" w14:textId="5665C89C" w:rsidR="00F468C6" w:rsidRPr="00F468C6" w:rsidRDefault="00F468C6" w:rsidP="00F468C6">
      <w:pPr>
        <w:spacing w:after="400"/>
        <w:rPr>
          <w:color w:val="5C606F"/>
          <w:sz w:val="24"/>
        </w:rPr>
      </w:pPr>
      <w:r w:rsidRPr="00F468C6">
        <w:rPr>
          <w:color w:val="5C606F"/>
          <w:sz w:val="24"/>
        </w:rPr>
        <w:t>Northstar is a fictional transaction monitoring dashboard built to demonstrate how software engineering supports fraud and financial crime operations.</w:t>
      </w:r>
    </w:p>
    <w:p w14:paraId="0CBD54AA" w14:textId="77777777" w:rsidR="00F468C6" w:rsidRPr="00F468C6" w:rsidRDefault="00F468C6" w:rsidP="00F468C6">
      <w:pPr>
        <w:spacing w:after="240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00"/>
        <w:gridCol w:w="7000"/>
      </w:tblGrid>
      <w:tr w:rsidR="00F468C6" w:rsidRPr="00F468C6" w14:paraId="0713FB6A"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7712A45C" w14:textId="40524529" w:rsidR="00F468C6" w:rsidRPr="00F468C6" w:rsidRDefault="00F468C6">
            <w:pPr>
              <w:rPr>
                <w:b/>
                <w:color w:val="6557D9"/>
                <w:sz w:val="19"/>
              </w:rPr>
            </w:pPr>
            <w:r w:rsidRPr="00F468C6">
              <w:rPr>
                <w:b/>
                <w:color w:val="6557D9"/>
                <w:sz w:val="19"/>
              </w:rPr>
              <w:t>Project type</w:t>
            </w:r>
          </w:p>
        </w:tc>
        <w:tc>
          <w:tcPr>
            <w:tcW w:w="7000" w:type="dxa"/>
            <w:shd w:val="clear" w:color="auto" w:fill="auto"/>
            <w:tcMar>
              <w:top w:w="140" w:type="dxa"/>
              <w:left w:w="140" w:type="dxa"/>
              <w:bottom w:w="140" w:type="dxa"/>
              <w:right w:w="140" w:type="dxa"/>
            </w:tcMar>
            <w:vAlign w:val="center"/>
          </w:tcPr>
          <w:p w14:paraId="2138474C" w14:textId="2F34046C" w:rsidR="00F468C6" w:rsidRPr="00F468C6" w:rsidRDefault="00F468C6">
            <w:pPr>
              <w:rPr>
                <w:sz w:val="19"/>
              </w:rPr>
            </w:pPr>
            <w:r w:rsidRPr="00F468C6">
              <w:rPr>
                <w:sz w:val="19"/>
              </w:rPr>
              <w:t>Interactive front-end demonstration</w:t>
            </w:r>
          </w:p>
        </w:tc>
      </w:tr>
      <w:tr w:rsidR="00F468C6" w:rsidRPr="00F468C6" w14:paraId="3D15BA91"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24A0CBF4" w14:textId="799A647E" w:rsidR="00F468C6" w:rsidRPr="00F468C6" w:rsidRDefault="00F468C6">
            <w:pPr>
              <w:rPr>
                <w:b/>
                <w:color w:val="6557D9"/>
                <w:sz w:val="19"/>
              </w:rPr>
            </w:pPr>
            <w:r w:rsidRPr="00F468C6">
              <w:rPr>
                <w:b/>
                <w:color w:val="6557D9"/>
                <w:sz w:val="19"/>
              </w:rPr>
              <w:t>Domain</w:t>
            </w:r>
          </w:p>
        </w:tc>
        <w:tc>
          <w:tcPr>
            <w:tcW w:w="7000" w:type="dxa"/>
            <w:shd w:val="clear" w:color="auto" w:fill="auto"/>
            <w:tcMar>
              <w:top w:w="140" w:type="dxa"/>
              <w:left w:w="140" w:type="dxa"/>
              <w:bottom w:w="140" w:type="dxa"/>
              <w:right w:w="140" w:type="dxa"/>
            </w:tcMar>
            <w:vAlign w:val="center"/>
          </w:tcPr>
          <w:p w14:paraId="47BD1D31" w14:textId="330E3DFF" w:rsidR="00F468C6" w:rsidRPr="00F468C6" w:rsidRDefault="00F468C6">
            <w:pPr>
              <w:rPr>
                <w:sz w:val="19"/>
              </w:rPr>
            </w:pPr>
            <w:r w:rsidRPr="00F468C6">
              <w:rPr>
                <w:sz w:val="19"/>
              </w:rPr>
              <w:t>Fintech, banking, payments, fraud risk, and AML operations</w:t>
            </w:r>
          </w:p>
        </w:tc>
      </w:tr>
      <w:tr w:rsidR="00F468C6" w:rsidRPr="00F468C6" w14:paraId="0349B09B"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05A31762" w14:textId="446D1BCE" w:rsidR="00F468C6" w:rsidRPr="00F468C6" w:rsidRDefault="00F468C6">
            <w:pPr>
              <w:rPr>
                <w:b/>
                <w:color w:val="6557D9"/>
                <w:sz w:val="19"/>
              </w:rPr>
            </w:pPr>
            <w:r w:rsidRPr="00F468C6">
              <w:rPr>
                <w:b/>
                <w:color w:val="6557D9"/>
                <w:sz w:val="19"/>
              </w:rPr>
              <w:t>Technology</w:t>
            </w:r>
          </w:p>
        </w:tc>
        <w:tc>
          <w:tcPr>
            <w:tcW w:w="7000" w:type="dxa"/>
            <w:shd w:val="clear" w:color="auto" w:fill="auto"/>
            <w:tcMar>
              <w:top w:w="140" w:type="dxa"/>
              <w:left w:w="140" w:type="dxa"/>
              <w:bottom w:w="140" w:type="dxa"/>
              <w:right w:w="140" w:type="dxa"/>
            </w:tcMar>
            <w:vAlign w:val="center"/>
          </w:tcPr>
          <w:p w14:paraId="5CC4C1BF" w14:textId="28D08235" w:rsidR="00F468C6" w:rsidRPr="00F468C6" w:rsidRDefault="00F468C6">
            <w:pPr>
              <w:rPr>
                <w:sz w:val="19"/>
              </w:rPr>
            </w:pPr>
            <w:r w:rsidRPr="00F468C6">
              <w:rPr>
                <w:sz w:val="19"/>
              </w:rPr>
              <w:t>HTML, CSS, and JavaScript</w:t>
            </w:r>
          </w:p>
        </w:tc>
      </w:tr>
      <w:tr w:rsidR="00F468C6" w:rsidRPr="00F468C6" w14:paraId="76B6D91B"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3D08D338" w14:textId="621FF2F5" w:rsidR="00F468C6" w:rsidRPr="00F468C6" w:rsidRDefault="00F468C6">
            <w:pPr>
              <w:rPr>
                <w:b/>
                <w:color w:val="6557D9"/>
                <w:sz w:val="19"/>
              </w:rPr>
            </w:pPr>
            <w:r w:rsidRPr="00F468C6">
              <w:rPr>
                <w:b/>
                <w:color w:val="6557D9"/>
                <w:sz w:val="19"/>
              </w:rPr>
              <w:t>Data</w:t>
            </w:r>
          </w:p>
        </w:tc>
        <w:tc>
          <w:tcPr>
            <w:tcW w:w="7000" w:type="dxa"/>
            <w:shd w:val="clear" w:color="auto" w:fill="auto"/>
            <w:tcMar>
              <w:top w:w="140" w:type="dxa"/>
              <w:left w:w="140" w:type="dxa"/>
              <w:bottom w:w="140" w:type="dxa"/>
              <w:right w:w="140" w:type="dxa"/>
            </w:tcMar>
            <w:vAlign w:val="center"/>
          </w:tcPr>
          <w:p w14:paraId="169BEBEE" w14:textId="7EB89AAF" w:rsidR="00F468C6" w:rsidRPr="00F468C6" w:rsidRDefault="00F468C6">
            <w:pPr>
              <w:rPr>
                <w:sz w:val="19"/>
              </w:rPr>
            </w:pPr>
            <w:r w:rsidRPr="00F468C6">
              <w:rPr>
                <w:sz w:val="19"/>
              </w:rPr>
              <w:t>Synthetic demonstration data only</w:t>
            </w:r>
          </w:p>
        </w:tc>
      </w:tr>
      <w:tr w:rsidR="00F468C6" w:rsidRPr="00F468C6" w14:paraId="3D45F845"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5FB3E43B" w14:textId="0B132B2E" w:rsidR="00F468C6" w:rsidRPr="00F468C6" w:rsidRDefault="00F468C6">
            <w:pPr>
              <w:rPr>
                <w:b/>
                <w:color w:val="6557D9"/>
                <w:sz w:val="19"/>
              </w:rPr>
            </w:pPr>
            <w:r w:rsidRPr="00F468C6">
              <w:rPr>
                <w:b/>
                <w:color w:val="6557D9"/>
                <w:sz w:val="19"/>
              </w:rPr>
              <w:t>Prepared</w:t>
            </w:r>
          </w:p>
        </w:tc>
        <w:tc>
          <w:tcPr>
            <w:tcW w:w="7000" w:type="dxa"/>
            <w:shd w:val="clear" w:color="auto" w:fill="auto"/>
            <w:tcMar>
              <w:top w:w="140" w:type="dxa"/>
              <w:left w:w="140" w:type="dxa"/>
              <w:bottom w:w="140" w:type="dxa"/>
              <w:right w:w="140" w:type="dxa"/>
            </w:tcMar>
            <w:vAlign w:val="center"/>
          </w:tcPr>
          <w:p w14:paraId="13479C5B" w14:textId="796C4412" w:rsidR="00F468C6" w:rsidRPr="00F468C6" w:rsidRDefault="00F468C6">
            <w:pPr>
              <w:rPr>
                <w:sz w:val="19"/>
              </w:rPr>
            </w:pPr>
            <w:r w:rsidRPr="00F468C6">
              <w:rPr>
                <w:sz w:val="19"/>
              </w:rPr>
              <w:t>6 October 2026</w:t>
            </w:r>
          </w:p>
        </w:tc>
      </w:tr>
    </w:tbl>
    <w:p w14:paraId="0D1B0EE0" w14:textId="77777777" w:rsidR="00F468C6" w:rsidRPr="00F468C6" w:rsidRDefault="00F468C6" w:rsidP="00F468C6">
      <w:pPr>
        <w:spacing w:after="40"/>
      </w:pPr>
    </w:p>
    <w:p w14:paraId="44A976E8" w14:textId="1CFFE0C2" w:rsidR="00F468C6" w:rsidRPr="00F468C6" w:rsidRDefault="00F468C6" w:rsidP="00F468C6">
      <w:pPr>
        <w:spacing w:after="0"/>
        <w:rPr>
          <w:b/>
          <w:color w:val="BE364E"/>
          <w:sz w:val="18"/>
        </w:rPr>
      </w:pPr>
      <w:r w:rsidRPr="00F468C6">
        <w:rPr>
          <w:b/>
          <w:color w:val="BE364E"/>
          <w:sz w:val="18"/>
        </w:rPr>
        <w:t>Important: Northstar does not connect to a bank, process payments, or make real risk decisions.</w:t>
      </w:r>
    </w:p>
    <w:p w14:paraId="1A7F3423" w14:textId="1F5E353D" w:rsidR="00F468C6" w:rsidRDefault="00F468C6">
      <w:pPr>
        <w:spacing w:after="100" w:line="257" w:lineRule="auto"/>
      </w:pPr>
      <w:r>
        <w:br w:type="page"/>
      </w:r>
    </w:p>
    <w:p w14:paraId="7C2D38ED" w14:textId="7E24F61E" w:rsidR="00F468C6" w:rsidRPr="00F468C6" w:rsidRDefault="00F468C6" w:rsidP="00F468C6">
      <w:pPr>
        <w:keepNext/>
        <w:spacing w:after="100"/>
      </w:pPr>
      <w:r w:rsidRPr="00F468C6">
        <w:rPr>
          <w:b/>
          <w:caps/>
          <w:color w:val="6557D9"/>
          <w:sz w:val="16"/>
        </w:rPr>
        <w:t>Project overview</w:t>
      </w:r>
    </w:p>
    <w:p w14:paraId="599682CE" w14:textId="62CA8A61" w:rsidR="00F468C6" w:rsidRPr="00F468C6" w:rsidRDefault="00F468C6" w:rsidP="00F468C6">
      <w:pPr>
        <w:pStyle w:val="Heading1"/>
        <w:spacing w:after="200"/>
      </w:pPr>
      <w:r>
        <w:t>What Northstar demonstrates</w:t>
      </w:r>
    </w:p>
    <w:p w14:paraId="68BAD6AD" w14:textId="13832273" w:rsidR="00F468C6" w:rsidRPr="00F468C6" w:rsidRDefault="00F468C6" w:rsidP="00F468C6">
      <w:pPr>
        <w:spacing w:after="200"/>
      </w:pPr>
      <w:r>
        <w:t>A bank may process thousands of payments through cards, UPI, NetBanking, and international transfer systems. Northstar brings suspicious activity into one screen so a risk analyst can understand what happened, review the evidence, and record a decision.</w:t>
      </w:r>
    </w:p>
    <w:p w14:paraId="17041AC1" w14:textId="4426B600" w:rsidR="00F468C6" w:rsidRDefault="00F468C6" w:rsidP="00F468C6">
      <w:pPr>
        <w:jc w:val="center"/>
      </w:pPr>
      <w:r>
        <w:rPr>
          <w:noProof/>
        </w:rPr>
        <w:drawing>
          <wp:inline distT="0" distB="0" distL="0" distR="0" wp14:anchorId="1C20EFC0" wp14:editId="5E5BDB8F">
            <wp:extent cx="6070600" cy="4426611"/>
            <wp:effectExtent l="0" t="0" r="6350" b="0"/>
            <wp:docPr id="1" name="Picture 1" descr="Screenshot of the Northstar transaction monitor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the Northstar transaction monitoring dashboard"/>
                    <pic:cNvPicPr/>
                  </pic:nvPicPr>
                  <pic:blipFill>
                    <a:blip r:embed="rId7">
                      <a:extLst>
                        <a:ext uri="{28A0092B-C50C-407E-A947-70E740481C1C}">
                          <a14:useLocalDpi xmlns:a14="http://schemas.microsoft.com/office/drawing/2010/main" val="0"/>
                        </a:ext>
                      </a:extLst>
                    </a:blip>
                    <a:stretch>
                      <a:fillRect/>
                    </a:stretch>
                  </pic:blipFill>
                  <pic:spPr>
                    <a:xfrm>
                      <a:off x="0" y="0"/>
                      <a:ext cx="6070600" cy="4426611"/>
                    </a:xfrm>
                    <a:prstGeom prst="rect">
                      <a:avLst/>
                    </a:prstGeom>
                  </pic:spPr>
                </pic:pic>
              </a:graphicData>
            </a:graphic>
          </wp:inline>
        </w:drawing>
      </w:r>
    </w:p>
    <w:p w14:paraId="6A45E8D4" w14:textId="4321BD50" w:rsidR="00F468C6" w:rsidRPr="00F468C6" w:rsidRDefault="00F468C6" w:rsidP="00F468C6">
      <w:pPr>
        <w:spacing w:after="180"/>
        <w:jc w:val="center"/>
        <w:rPr>
          <w:i/>
          <w:color w:val="5C606F"/>
          <w:sz w:val="16"/>
        </w:rPr>
      </w:pPr>
      <w:r w:rsidRPr="00F468C6">
        <w:rPr>
          <w:i/>
          <w:color w:val="5C606F"/>
          <w:sz w:val="16"/>
        </w:rPr>
        <w:t>Figure 1  Northstar dashboard with risk metrics, charts, and the priority review queue</w:t>
      </w:r>
    </w:p>
    <w:p w14:paraId="5B721879" w14:textId="5E4CE856" w:rsidR="00F468C6" w:rsidRPr="00F468C6" w:rsidRDefault="00F468C6" w:rsidP="00F468C6">
      <w:pPr>
        <w:spacing w:after="0"/>
      </w:pPr>
      <w:r>
        <w:t>The values shown in the interface are examples. They make the workflow easy to demonstrate without exposing real customer or bank information.</w:t>
      </w:r>
    </w:p>
    <w:p w14:paraId="432ADC29" w14:textId="477A127E" w:rsidR="00F468C6" w:rsidRDefault="00F468C6">
      <w:pPr>
        <w:spacing w:after="100" w:line="257" w:lineRule="auto"/>
      </w:pPr>
      <w:r>
        <w:br w:type="page"/>
      </w:r>
    </w:p>
    <w:p w14:paraId="31245127" w14:textId="5A947EE4" w:rsidR="00F468C6" w:rsidRPr="00F468C6" w:rsidRDefault="00F468C6" w:rsidP="00F468C6">
      <w:pPr>
        <w:keepNext/>
        <w:spacing w:after="100"/>
      </w:pPr>
      <w:r w:rsidRPr="00F468C6">
        <w:rPr>
          <w:b/>
          <w:caps/>
          <w:color w:val="6557D9"/>
          <w:sz w:val="16"/>
        </w:rPr>
        <w:t>Business context</w:t>
      </w:r>
    </w:p>
    <w:p w14:paraId="0A32D14F" w14:textId="41F9FC5D" w:rsidR="00F468C6" w:rsidRPr="00F468C6" w:rsidRDefault="00F468C6" w:rsidP="00F468C6">
      <w:pPr>
        <w:pStyle w:val="Heading1"/>
        <w:spacing w:after="200"/>
      </w:pPr>
      <w:r>
        <w:t>The problem the project solves</w:t>
      </w:r>
    </w:p>
    <w:p w14:paraId="3A49F2F2" w14:textId="70E18B8C" w:rsidR="00F468C6" w:rsidRPr="00F468C6" w:rsidRDefault="00F468C6" w:rsidP="00F468C6">
      <w:pPr>
        <w:spacing w:after="200"/>
      </w:pPr>
      <w:r>
        <w:t>Payment systems must make decisions quickly, but a suspicious transaction often needs human judgment. Analysts need the transaction details, the reason it was flagged, the customer context, and a safe way to record the outcome.</w:t>
      </w:r>
    </w:p>
    <w:p w14:paraId="4F0E4107" w14:textId="0280627E" w:rsidR="00F468C6" w:rsidRPr="00F468C6" w:rsidRDefault="00F468C6" w:rsidP="00F468C6">
      <w:pPr>
        <w:pStyle w:val="Heading2"/>
      </w:pPr>
      <w:r>
        <w:t>Who would use this system</w:t>
      </w:r>
    </w:p>
    <w:p w14:paraId="58FD24FA" w14:textId="34F93C06" w:rsidR="00F468C6" w:rsidRPr="00F468C6" w:rsidRDefault="00F468C6" w:rsidP="00F468C6">
      <w:pPr>
        <w:pStyle w:val="ListParagraph"/>
        <w:numPr>
          <w:ilvl w:val="0"/>
          <w:numId w:val="1"/>
        </w:numPr>
        <w:spacing w:after="80"/>
        <w:ind w:left="360" w:hanging="180"/>
      </w:pPr>
      <w:r>
        <w:t>Fraud analysts review unusual payments and possible account takeover.</w:t>
      </w:r>
    </w:p>
    <w:p w14:paraId="00115BBE" w14:textId="695E456D" w:rsidR="00F468C6" w:rsidRPr="00F468C6" w:rsidRDefault="00F468C6" w:rsidP="00F468C6">
      <w:pPr>
        <w:pStyle w:val="ListParagraph"/>
        <w:numPr>
          <w:ilvl w:val="0"/>
          <w:numId w:val="1"/>
        </w:numPr>
        <w:spacing w:after="80"/>
        <w:ind w:left="360" w:hanging="180"/>
      </w:pPr>
      <w:r>
        <w:t>AML investigators examine behavior that may indicate money laundering or mule accounts.</w:t>
      </w:r>
    </w:p>
    <w:p w14:paraId="5ECFEA59" w14:textId="54A39C86" w:rsidR="00F468C6" w:rsidRPr="00F468C6" w:rsidRDefault="00F468C6" w:rsidP="00F468C6">
      <w:pPr>
        <w:pStyle w:val="ListParagraph"/>
        <w:numPr>
          <w:ilvl w:val="0"/>
          <w:numId w:val="1"/>
        </w:numPr>
        <w:spacing w:after="80"/>
        <w:ind w:left="360" w:hanging="180"/>
      </w:pPr>
      <w:r>
        <w:t>Risk managers monitor exposure, queue size, review time, and false positives.</w:t>
      </w:r>
    </w:p>
    <w:p w14:paraId="421FAFAF" w14:textId="42F824F6" w:rsidR="00F468C6" w:rsidRPr="00F468C6" w:rsidRDefault="00F468C6" w:rsidP="00F468C6">
      <w:pPr>
        <w:pStyle w:val="ListParagraph"/>
        <w:numPr>
          <w:ilvl w:val="0"/>
          <w:numId w:val="1"/>
        </w:numPr>
        <w:spacing w:after="80"/>
        <w:ind w:left="360" w:hanging="180"/>
      </w:pPr>
      <w:r>
        <w:t>Auditors and compliance teams check whether decisions were supported and recorded.</w:t>
      </w:r>
    </w:p>
    <w:p w14:paraId="117EA7CD" w14:textId="1229A721" w:rsidR="00F468C6" w:rsidRPr="00F468C6" w:rsidRDefault="00F468C6" w:rsidP="00F468C6">
      <w:pPr>
        <w:pStyle w:val="Heading2"/>
      </w:pPr>
      <w:r>
        <w:t>Why both technology and BFSI matter</w:t>
      </w:r>
    </w:p>
    <w:p w14:paraId="454C10B4" w14:textId="1A8B0E0E" w:rsidR="00F468C6" w:rsidRPr="00F468C6" w:rsidRDefault="00F468C6" w:rsidP="00F468C6">
      <w:pPr>
        <w:spacing w:after="200"/>
      </w:pPr>
      <w:r>
        <w:t>The technology side must receive events, calculate signals, search cases, protect customer data, and keep reliable records. The banking side defines what counts as unusual, which decisions require approval, how long records must be kept, and when a case should be escalated.</w:t>
      </w:r>
    </w:p>
    <w:p w14:paraId="2C5AC784" w14:textId="0068E640" w:rsidR="00F468C6" w:rsidRPr="00F468C6" w:rsidRDefault="00F468C6" w:rsidP="00F468C6">
      <w:pPr>
        <w:pStyle w:val="Heading2"/>
      </w:pPr>
      <w:r>
        <w:t>Project boundary</w:t>
      </w:r>
    </w:p>
    <w:p w14:paraId="1861F10B" w14:textId="641E61BD" w:rsidR="00F468C6" w:rsidRPr="00F468C6" w:rsidRDefault="00F468C6" w:rsidP="00F468C6">
      <w:pPr>
        <w:spacing w:after="0"/>
      </w:pPr>
      <w:r>
        <w:t>The current project is a browser-based demonstration. It focuses on the analyst experience. A real deployment would add payment integrations, authentication, case APIs, databases, encryption, monitoring, and regulatory controls.</w:t>
      </w:r>
    </w:p>
    <w:p w14:paraId="20CC9936" w14:textId="7C98878B" w:rsidR="00F468C6" w:rsidRDefault="00F468C6">
      <w:pPr>
        <w:spacing w:after="100" w:line="257" w:lineRule="auto"/>
      </w:pPr>
      <w:r>
        <w:br w:type="page"/>
      </w:r>
    </w:p>
    <w:p w14:paraId="0294D151" w14:textId="6B6CCC0E" w:rsidR="00F468C6" w:rsidRPr="00F468C6" w:rsidRDefault="00F468C6" w:rsidP="00F468C6">
      <w:pPr>
        <w:keepNext/>
        <w:spacing w:after="100"/>
      </w:pPr>
      <w:r w:rsidRPr="00F468C6">
        <w:rPr>
          <w:b/>
          <w:caps/>
          <w:color w:val="6557D9"/>
          <w:sz w:val="16"/>
        </w:rPr>
        <w:t>User workflow</w:t>
      </w:r>
    </w:p>
    <w:p w14:paraId="769FCC48" w14:textId="2B7A8419" w:rsidR="00F468C6" w:rsidRPr="00F468C6" w:rsidRDefault="00F468C6" w:rsidP="00F468C6">
      <w:pPr>
        <w:pStyle w:val="Heading1"/>
        <w:spacing w:after="180"/>
      </w:pPr>
      <w:r>
        <w:t>How a transaction is reviewed</w:t>
      </w:r>
    </w:p>
    <w:p w14:paraId="0C802790" w14:textId="6799A862" w:rsidR="00F468C6" w:rsidRPr="00F468C6" w:rsidRDefault="00F468C6" w:rsidP="00F468C6">
      <w:pPr>
        <w:spacing w:after="200"/>
      </w:pPr>
      <w:r>
        <w:t>Northstar represents a simple decision path. Low-risk payments may continue automatically. Medium- and high-risk payments enter the review queue, where an analyst checks the evidence and records an outcome.</w:t>
      </w:r>
    </w:p>
    <w:p w14:paraId="77F75C37" w14:textId="31D9476B" w:rsidR="00F468C6" w:rsidRDefault="00F468C6" w:rsidP="00F468C6">
      <w:pPr>
        <w:jc w:val="center"/>
      </w:pPr>
      <w:r>
        <w:rPr>
          <w:noProof/>
        </w:rPr>
        <w:drawing>
          <wp:inline distT="0" distB="0" distL="0" distR="0" wp14:anchorId="77959821" wp14:editId="336C3C5C">
            <wp:extent cx="6070600" cy="2832651"/>
            <wp:effectExtent l="0" t="0" r="6350" b="6350"/>
            <wp:docPr id="2" name="Picture 2" descr="Flowchart showing payment screening, risk scoring, analyst review, and clear or block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chart showing payment screening, risk scoring, analyst review, and clear or block outcomes"/>
                    <pic:cNvPicPr/>
                  </pic:nvPicPr>
                  <pic:blipFill>
                    <a:blip r:embed="rId8">
                      <a:extLst>
                        <a:ext uri="{28A0092B-C50C-407E-A947-70E740481C1C}">
                          <a14:useLocalDpi xmlns:a14="http://schemas.microsoft.com/office/drawing/2010/main" val="0"/>
                        </a:ext>
                      </a:extLst>
                    </a:blip>
                    <a:stretch>
                      <a:fillRect/>
                    </a:stretch>
                  </pic:blipFill>
                  <pic:spPr>
                    <a:xfrm>
                      <a:off x="0" y="0"/>
                      <a:ext cx="6070600" cy="2832651"/>
                    </a:xfrm>
                    <a:prstGeom prst="rect">
                      <a:avLst/>
                    </a:prstGeom>
                  </pic:spPr>
                </pic:pic>
              </a:graphicData>
            </a:graphic>
          </wp:inline>
        </w:drawing>
      </w:r>
    </w:p>
    <w:p w14:paraId="2D99D146" w14:textId="609FCE0D" w:rsidR="00F468C6" w:rsidRPr="00F468C6" w:rsidRDefault="00F468C6" w:rsidP="00F468C6">
      <w:pPr>
        <w:spacing w:after="180"/>
        <w:jc w:val="center"/>
        <w:rPr>
          <w:i/>
          <w:color w:val="5C606F"/>
          <w:sz w:val="16"/>
        </w:rPr>
      </w:pPr>
      <w:r w:rsidRPr="00F468C6">
        <w:rPr>
          <w:i/>
          <w:color w:val="5C606F"/>
          <w:sz w:val="16"/>
        </w:rPr>
        <w:t>Figure 2  Simplified transaction screening and review flow</w:t>
      </w:r>
    </w:p>
    <w:p w14:paraId="72F29DE2" w14:textId="7862EFB8" w:rsidR="00F468C6" w:rsidRPr="00F468C6" w:rsidRDefault="00F468C6" w:rsidP="00F468C6">
      <w:pPr>
        <w:pStyle w:val="Heading2"/>
      </w:pPr>
      <w:r>
        <w:t>Example walkthrough</w:t>
      </w:r>
    </w:p>
    <w:p w14:paraId="2FAC19B5" w14:textId="54C4988C" w:rsidR="00F468C6" w:rsidRPr="00F468C6" w:rsidRDefault="00F468C6" w:rsidP="00F468C6">
      <w:pPr>
        <w:spacing w:after="0"/>
      </w:pPr>
      <w:r>
        <w:t>A customer sends a large international transfer. The engine notices twelve transfers in eight minutes and assigns a risk score of 94. The case appears at the top of the queue with the velocity signal. An analyst reviews the payment route and customer history, then either clears the transaction or blocks and escalates it. Northstar displays a confirmation and treats the action as an audit event.</w:t>
      </w:r>
    </w:p>
    <w:p w14:paraId="5F76CF6A" w14:textId="151D0AC1" w:rsidR="00F468C6" w:rsidRDefault="00F468C6">
      <w:pPr>
        <w:spacing w:after="100" w:line="257" w:lineRule="auto"/>
      </w:pPr>
      <w:r>
        <w:br w:type="page"/>
      </w:r>
    </w:p>
    <w:p w14:paraId="16324411" w14:textId="18B1D23E" w:rsidR="00F468C6" w:rsidRPr="00F468C6" w:rsidRDefault="00F468C6" w:rsidP="00F468C6">
      <w:pPr>
        <w:keepNext/>
        <w:spacing w:after="100"/>
      </w:pPr>
      <w:r w:rsidRPr="00F468C6">
        <w:rPr>
          <w:b/>
          <w:caps/>
          <w:color w:val="6557D9"/>
          <w:sz w:val="16"/>
        </w:rPr>
        <w:t>Dashboard guide</w:t>
      </w:r>
    </w:p>
    <w:p w14:paraId="77732DD2" w14:textId="5F6C4EFA" w:rsidR="00F468C6" w:rsidRPr="00F468C6" w:rsidRDefault="00F468C6" w:rsidP="00F468C6">
      <w:pPr>
        <w:pStyle w:val="Heading1"/>
        <w:spacing w:after="180"/>
      </w:pPr>
      <w:r>
        <w:t>What each section means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192"/>
        <w:gridCol w:w="3191"/>
        <w:gridCol w:w="3193"/>
      </w:tblGrid>
      <w:tr w:rsidR="00F468C6" w:rsidRPr="00F468C6" w14:paraId="681A180D" w14:textId="77777777" w:rsidTr="00F468C6">
        <w:tblPrEx>
          <w:tblCellMar>
            <w:top w:w="0" w:type="dxa"/>
            <w:bottom w:w="0" w:type="dxa"/>
          </w:tblCellMar>
        </w:tblPrEx>
        <w:trPr>
          <w:cantSplit/>
        </w:trPr>
        <w:tc>
          <w:tcPr>
            <w:tcW w:w="1666" w:type="pct"/>
            <w:shd w:val="clear" w:color="auto" w:fill="222844"/>
            <w:tcMar>
              <w:top w:w="120" w:type="dxa"/>
              <w:left w:w="120" w:type="dxa"/>
              <w:bottom w:w="120" w:type="dxa"/>
              <w:right w:w="120" w:type="dxa"/>
            </w:tcMar>
            <w:vAlign w:val="center"/>
          </w:tcPr>
          <w:p w14:paraId="16DDC021" w14:textId="69A3688A" w:rsidR="00F468C6" w:rsidRPr="00F468C6" w:rsidRDefault="00F468C6" w:rsidP="00F468C6">
            <w:pPr>
              <w:spacing w:after="40"/>
              <w:rPr>
                <w:b/>
                <w:color w:val="FFFFFF"/>
                <w:sz w:val="18"/>
              </w:rPr>
            </w:pPr>
            <w:r w:rsidRPr="00F468C6">
              <w:rPr>
                <w:b/>
                <w:color w:val="FFFFFF"/>
                <w:sz w:val="18"/>
              </w:rPr>
              <w:t>Section</w:t>
            </w:r>
          </w:p>
        </w:tc>
        <w:tc>
          <w:tcPr>
            <w:tcW w:w="1666" w:type="pct"/>
            <w:shd w:val="clear" w:color="auto" w:fill="222844"/>
            <w:tcMar>
              <w:top w:w="120" w:type="dxa"/>
              <w:left w:w="120" w:type="dxa"/>
              <w:bottom w:w="120" w:type="dxa"/>
              <w:right w:w="120" w:type="dxa"/>
            </w:tcMar>
            <w:vAlign w:val="center"/>
          </w:tcPr>
          <w:p w14:paraId="54207B91" w14:textId="3CEE7181" w:rsidR="00F468C6" w:rsidRPr="00F468C6" w:rsidRDefault="00F468C6" w:rsidP="00F468C6">
            <w:pPr>
              <w:spacing w:after="40"/>
              <w:rPr>
                <w:b/>
                <w:color w:val="FFFFFF"/>
                <w:sz w:val="18"/>
              </w:rPr>
            </w:pPr>
            <w:r w:rsidRPr="00F468C6">
              <w:rPr>
                <w:b/>
                <w:color w:val="FFFFFF"/>
                <w:sz w:val="18"/>
              </w:rPr>
              <w:t>What it shows</w:t>
            </w:r>
          </w:p>
        </w:tc>
        <w:tc>
          <w:tcPr>
            <w:tcW w:w="1667" w:type="pct"/>
            <w:shd w:val="clear" w:color="auto" w:fill="222844"/>
            <w:tcMar>
              <w:top w:w="120" w:type="dxa"/>
              <w:left w:w="120" w:type="dxa"/>
              <w:bottom w:w="120" w:type="dxa"/>
              <w:right w:w="120" w:type="dxa"/>
            </w:tcMar>
            <w:vAlign w:val="center"/>
          </w:tcPr>
          <w:p w14:paraId="7D3151BF" w14:textId="22852B4C" w:rsidR="00F468C6" w:rsidRPr="00F468C6" w:rsidRDefault="00F468C6" w:rsidP="00F468C6">
            <w:pPr>
              <w:spacing w:after="40"/>
              <w:rPr>
                <w:b/>
                <w:color w:val="FFFFFF"/>
                <w:sz w:val="18"/>
              </w:rPr>
            </w:pPr>
            <w:r w:rsidRPr="00F468C6">
              <w:rPr>
                <w:b/>
                <w:color w:val="FFFFFF"/>
                <w:sz w:val="18"/>
              </w:rPr>
              <w:t>Why it matters</w:t>
            </w:r>
          </w:p>
        </w:tc>
      </w:tr>
      <w:tr w:rsidR="00F468C6" w:rsidRPr="00F468C6" w14:paraId="152A0E6F" w14:textId="77777777" w:rsidTr="00F468C6">
        <w:tblPrEx>
          <w:tblCellMar>
            <w:top w:w="0" w:type="dxa"/>
            <w:bottom w:w="0" w:type="dxa"/>
          </w:tblCellMar>
        </w:tblPrEx>
        <w:trPr>
          <w:cantSplit/>
        </w:trPr>
        <w:tc>
          <w:tcPr>
            <w:tcW w:w="1666" w:type="pct"/>
            <w:tcBorders>
              <w:bottom w:val="single" w:sz="4" w:space="0" w:color="D9D9D9"/>
            </w:tcBorders>
            <w:shd w:val="clear" w:color="auto" w:fill="auto"/>
            <w:tcMar>
              <w:top w:w="120" w:type="dxa"/>
              <w:left w:w="120" w:type="dxa"/>
              <w:bottom w:w="120" w:type="dxa"/>
              <w:right w:w="120" w:type="dxa"/>
            </w:tcMar>
            <w:vAlign w:val="center"/>
          </w:tcPr>
          <w:p w14:paraId="4C199ABD" w14:textId="69DAB662" w:rsidR="00F468C6" w:rsidRPr="00F468C6" w:rsidRDefault="00F468C6" w:rsidP="00F468C6">
            <w:pPr>
              <w:spacing w:after="40"/>
              <w:rPr>
                <w:sz w:val="18"/>
              </w:rPr>
            </w:pPr>
            <w:r w:rsidRPr="00F468C6">
              <w:rPr>
                <w:sz w:val="18"/>
              </w:rPr>
              <w:t>Key metrics</w:t>
            </w:r>
          </w:p>
        </w:tc>
        <w:tc>
          <w:tcPr>
            <w:tcW w:w="1666" w:type="pct"/>
            <w:tcBorders>
              <w:bottom w:val="single" w:sz="4" w:space="0" w:color="D9D9D9"/>
            </w:tcBorders>
            <w:shd w:val="clear" w:color="auto" w:fill="auto"/>
            <w:tcMar>
              <w:top w:w="120" w:type="dxa"/>
              <w:left w:w="120" w:type="dxa"/>
              <w:bottom w:w="120" w:type="dxa"/>
              <w:right w:w="120" w:type="dxa"/>
            </w:tcMar>
            <w:vAlign w:val="center"/>
          </w:tcPr>
          <w:p w14:paraId="0D5233B5" w14:textId="0693BB27" w:rsidR="00F468C6" w:rsidRPr="00F468C6" w:rsidRDefault="00F468C6" w:rsidP="00F468C6">
            <w:pPr>
              <w:spacing w:after="40"/>
              <w:rPr>
                <w:sz w:val="18"/>
              </w:rPr>
            </w:pPr>
            <w:r w:rsidRPr="00F468C6">
              <w:rPr>
                <w:sz w:val="18"/>
              </w:rPr>
              <w:t>Transactions screened, cases flagged, prevented exposure, and review time</w:t>
            </w:r>
          </w:p>
        </w:tc>
        <w:tc>
          <w:tcPr>
            <w:tcW w:w="1667" w:type="pct"/>
            <w:tcBorders>
              <w:bottom w:val="single" w:sz="4" w:space="0" w:color="D9D9D9"/>
            </w:tcBorders>
            <w:shd w:val="clear" w:color="auto" w:fill="auto"/>
            <w:tcMar>
              <w:top w:w="120" w:type="dxa"/>
              <w:left w:w="120" w:type="dxa"/>
              <w:bottom w:w="120" w:type="dxa"/>
              <w:right w:w="120" w:type="dxa"/>
            </w:tcMar>
            <w:vAlign w:val="center"/>
          </w:tcPr>
          <w:p w14:paraId="25966193" w14:textId="6C7F69B5" w:rsidR="00F468C6" w:rsidRPr="00F468C6" w:rsidRDefault="00F468C6" w:rsidP="00F468C6">
            <w:pPr>
              <w:spacing w:after="40"/>
              <w:rPr>
                <w:sz w:val="18"/>
              </w:rPr>
            </w:pPr>
            <w:r w:rsidRPr="00F468C6">
              <w:rPr>
                <w:sz w:val="18"/>
              </w:rPr>
              <w:t>Gives managers a quick operational view</w:t>
            </w:r>
          </w:p>
        </w:tc>
      </w:tr>
      <w:tr w:rsidR="00F468C6" w:rsidRPr="00F468C6" w14:paraId="1A106E89" w14:textId="77777777" w:rsidTr="00F468C6">
        <w:tblPrEx>
          <w:tblCellMar>
            <w:top w:w="0" w:type="dxa"/>
            <w:bottom w:w="0" w:type="dxa"/>
          </w:tblCellMar>
        </w:tblPrEx>
        <w:trPr>
          <w:cantSplit/>
        </w:trPr>
        <w:tc>
          <w:tcPr>
            <w:tcW w:w="1666" w:type="pct"/>
            <w:shd w:val="clear" w:color="auto" w:fill="F6F7FA"/>
            <w:tcMar>
              <w:top w:w="120" w:type="dxa"/>
              <w:left w:w="120" w:type="dxa"/>
              <w:bottom w:w="120" w:type="dxa"/>
              <w:right w:w="120" w:type="dxa"/>
            </w:tcMar>
            <w:vAlign w:val="center"/>
          </w:tcPr>
          <w:p w14:paraId="09787D7D" w14:textId="6F073AD7" w:rsidR="00F468C6" w:rsidRPr="00F468C6" w:rsidRDefault="00F468C6" w:rsidP="00F468C6">
            <w:pPr>
              <w:spacing w:after="40"/>
              <w:rPr>
                <w:sz w:val="18"/>
              </w:rPr>
            </w:pPr>
            <w:r w:rsidRPr="00F468C6">
              <w:rPr>
                <w:sz w:val="18"/>
              </w:rPr>
              <w:t>Volume chart</w:t>
            </w:r>
          </w:p>
        </w:tc>
        <w:tc>
          <w:tcPr>
            <w:tcW w:w="1666" w:type="pct"/>
            <w:shd w:val="clear" w:color="auto" w:fill="F6F7FA"/>
            <w:tcMar>
              <w:top w:w="120" w:type="dxa"/>
              <w:left w:w="120" w:type="dxa"/>
              <w:bottom w:w="120" w:type="dxa"/>
              <w:right w:w="120" w:type="dxa"/>
            </w:tcMar>
            <w:vAlign w:val="center"/>
          </w:tcPr>
          <w:p w14:paraId="6E72CA9F" w14:textId="03692E24" w:rsidR="00F468C6" w:rsidRPr="00F468C6" w:rsidRDefault="00F468C6" w:rsidP="00F468C6">
            <w:pPr>
              <w:spacing w:after="40"/>
              <w:rPr>
                <w:sz w:val="18"/>
              </w:rPr>
            </w:pPr>
            <w:r w:rsidRPr="00F468C6">
              <w:rPr>
                <w:sz w:val="18"/>
              </w:rPr>
              <w:t>Approved and flagged payments by hour</w:t>
            </w:r>
          </w:p>
        </w:tc>
        <w:tc>
          <w:tcPr>
            <w:tcW w:w="1667" w:type="pct"/>
            <w:shd w:val="clear" w:color="auto" w:fill="F6F7FA"/>
            <w:tcMar>
              <w:top w:w="120" w:type="dxa"/>
              <w:left w:w="120" w:type="dxa"/>
              <w:bottom w:w="120" w:type="dxa"/>
              <w:right w:w="120" w:type="dxa"/>
            </w:tcMar>
            <w:vAlign w:val="center"/>
          </w:tcPr>
          <w:p w14:paraId="44D42807" w14:textId="751BBB12" w:rsidR="00F468C6" w:rsidRPr="00F468C6" w:rsidRDefault="00F468C6" w:rsidP="00F468C6">
            <w:pPr>
              <w:spacing w:after="40"/>
              <w:rPr>
                <w:sz w:val="18"/>
              </w:rPr>
            </w:pPr>
            <w:r w:rsidRPr="00F468C6">
              <w:rPr>
                <w:sz w:val="18"/>
              </w:rPr>
              <w:t>Makes spikes and changes easier to notice</w:t>
            </w:r>
          </w:p>
        </w:tc>
      </w:tr>
      <w:tr w:rsidR="00F468C6" w:rsidRPr="00F468C6" w14:paraId="3EA98972" w14:textId="77777777" w:rsidTr="00F468C6">
        <w:tblPrEx>
          <w:tblCellMar>
            <w:top w:w="0" w:type="dxa"/>
            <w:bottom w:w="0" w:type="dxa"/>
          </w:tblCellMar>
        </w:tblPrEx>
        <w:trPr>
          <w:cantSplit/>
        </w:trPr>
        <w:tc>
          <w:tcPr>
            <w:tcW w:w="1666" w:type="pct"/>
            <w:tcBorders>
              <w:bottom w:val="single" w:sz="4" w:space="0" w:color="D9D9D9"/>
            </w:tcBorders>
            <w:shd w:val="clear" w:color="auto" w:fill="auto"/>
            <w:tcMar>
              <w:top w:w="120" w:type="dxa"/>
              <w:left w:w="120" w:type="dxa"/>
              <w:bottom w:w="120" w:type="dxa"/>
              <w:right w:w="120" w:type="dxa"/>
            </w:tcMar>
            <w:vAlign w:val="center"/>
          </w:tcPr>
          <w:p w14:paraId="036D3705" w14:textId="43E490E2" w:rsidR="00F468C6" w:rsidRPr="00F468C6" w:rsidRDefault="00F468C6" w:rsidP="00F468C6">
            <w:pPr>
              <w:spacing w:after="40"/>
              <w:rPr>
                <w:sz w:val="18"/>
              </w:rPr>
            </w:pPr>
            <w:r w:rsidRPr="00F468C6">
              <w:rPr>
                <w:sz w:val="18"/>
              </w:rPr>
              <w:t>Risk distribution</w:t>
            </w:r>
          </w:p>
        </w:tc>
        <w:tc>
          <w:tcPr>
            <w:tcW w:w="1666" w:type="pct"/>
            <w:tcBorders>
              <w:bottom w:val="single" w:sz="4" w:space="0" w:color="D9D9D9"/>
            </w:tcBorders>
            <w:shd w:val="clear" w:color="auto" w:fill="auto"/>
            <w:tcMar>
              <w:top w:w="120" w:type="dxa"/>
              <w:left w:w="120" w:type="dxa"/>
              <w:bottom w:w="120" w:type="dxa"/>
              <w:right w:w="120" w:type="dxa"/>
            </w:tcMar>
            <w:vAlign w:val="center"/>
          </w:tcPr>
          <w:p w14:paraId="0FE4659B" w14:textId="329704F2" w:rsidR="00F468C6" w:rsidRPr="00F468C6" w:rsidRDefault="00F468C6" w:rsidP="00F468C6">
            <w:pPr>
              <w:spacing w:after="40"/>
              <w:rPr>
                <w:sz w:val="18"/>
              </w:rPr>
            </w:pPr>
            <w:r w:rsidRPr="00F468C6">
              <w:rPr>
                <w:sz w:val="18"/>
              </w:rPr>
              <w:t>Low, medium, and high-risk proportions</w:t>
            </w:r>
          </w:p>
        </w:tc>
        <w:tc>
          <w:tcPr>
            <w:tcW w:w="1667" w:type="pct"/>
            <w:tcBorders>
              <w:bottom w:val="single" w:sz="4" w:space="0" w:color="D9D9D9"/>
            </w:tcBorders>
            <w:shd w:val="clear" w:color="auto" w:fill="auto"/>
            <w:tcMar>
              <w:top w:w="120" w:type="dxa"/>
              <w:left w:w="120" w:type="dxa"/>
              <w:bottom w:w="120" w:type="dxa"/>
              <w:right w:w="120" w:type="dxa"/>
            </w:tcMar>
            <w:vAlign w:val="center"/>
          </w:tcPr>
          <w:p w14:paraId="481A93EB" w14:textId="66A57F65" w:rsidR="00F468C6" w:rsidRPr="00F468C6" w:rsidRDefault="00F468C6" w:rsidP="00F468C6">
            <w:pPr>
              <w:spacing w:after="40"/>
              <w:rPr>
                <w:sz w:val="18"/>
              </w:rPr>
            </w:pPr>
            <w:r w:rsidRPr="00F468C6">
              <w:rPr>
                <w:sz w:val="18"/>
              </w:rPr>
              <w:t>Shows whether the queue is growing unusually</w:t>
            </w:r>
          </w:p>
        </w:tc>
      </w:tr>
      <w:tr w:rsidR="00F468C6" w:rsidRPr="00F468C6" w14:paraId="1E4EABCE" w14:textId="77777777" w:rsidTr="00F468C6">
        <w:tblPrEx>
          <w:tblCellMar>
            <w:top w:w="0" w:type="dxa"/>
            <w:bottom w:w="0" w:type="dxa"/>
          </w:tblCellMar>
        </w:tblPrEx>
        <w:trPr>
          <w:cantSplit/>
        </w:trPr>
        <w:tc>
          <w:tcPr>
            <w:tcW w:w="1666" w:type="pct"/>
            <w:shd w:val="clear" w:color="auto" w:fill="F6F7FA"/>
            <w:tcMar>
              <w:top w:w="120" w:type="dxa"/>
              <w:left w:w="120" w:type="dxa"/>
              <w:bottom w:w="120" w:type="dxa"/>
              <w:right w:w="120" w:type="dxa"/>
            </w:tcMar>
            <w:vAlign w:val="center"/>
          </w:tcPr>
          <w:p w14:paraId="090AA38C" w14:textId="76152A78" w:rsidR="00F468C6" w:rsidRPr="00F468C6" w:rsidRDefault="00F468C6" w:rsidP="00F468C6">
            <w:pPr>
              <w:spacing w:after="40"/>
              <w:rPr>
                <w:sz w:val="18"/>
              </w:rPr>
            </w:pPr>
            <w:r w:rsidRPr="00F468C6">
              <w:rPr>
                <w:sz w:val="18"/>
              </w:rPr>
              <w:t>Review queue</w:t>
            </w:r>
          </w:p>
        </w:tc>
        <w:tc>
          <w:tcPr>
            <w:tcW w:w="1666" w:type="pct"/>
            <w:shd w:val="clear" w:color="auto" w:fill="F6F7FA"/>
            <w:tcMar>
              <w:top w:w="120" w:type="dxa"/>
              <w:left w:w="120" w:type="dxa"/>
              <w:bottom w:w="120" w:type="dxa"/>
              <w:right w:w="120" w:type="dxa"/>
            </w:tcMar>
            <w:vAlign w:val="center"/>
          </w:tcPr>
          <w:p w14:paraId="7830F01F" w14:textId="250B2333" w:rsidR="00F468C6" w:rsidRPr="00F468C6" w:rsidRDefault="00F468C6" w:rsidP="00F468C6">
            <w:pPr>
              <w:spacing w:after="40"/>
              <w:rPr>
                <w:sz w:val="18"/>
              </w:rPr>
            </w:pPr>
            <w:r w:rsidRPr="00F468C6">
              <w:rPr>
                <w:sz w:val="18"/>
              </w:rPr>
              <w:t>Customer, amount, score, signal, channel, and time</w:t>
            </w:r>
          </w:p>
        </w:tc>
        <w:tc>
          <w:tcPr>
            <w:tcW w:w="1667" w:type="pct"/>
            <w:shd w:val="clear" w:color="auto" w:fill="F6F7FA"/>
            <w:tcMar>
              <w:top w:w="120" w:type="dxa"/>
              <w:left w:w="120" w:type="dxa"/>
              <w:bottom w:w="120" w:type="dxa"/>
              <w:right w:w="120" w:type="dxa"/>
            </w:tcMar>
            <w:vAlign w:val="center"/>
          </w:tcPr>
          <w:p w14:paraId="0878D34B" w14:textId="37521AB1" w:rsidR="00F468C6" w:rsidRPr="00F468C6" w:rsidRDefault="00F468C6" w:rsidP="00F468C6">
            <w:pPr>
              <w:spacing w:after="40"/>
              <w:rPr>
                <w:sz w:val="18"/>
              </w:rPr>
            </w:pPr>
            <w:r w:rsidRPr="00F468C6">
              <w:rPr>
                <w:sz w:val="18"/>
              </w:rPr>
              <w:t>Helps analysts handle the highest-risk cases first</w:t>
            </w:r>
          </w:p>
        </w:tc>
      </w:tr>
      <w:tr w:rsidR="00F468C6" w:rsidRPr="00F468C6" w14:paraId="198B12A0" w14:textId="77777777" w:rsidTr="00F468C6">
        <w:tblPrEx>
          <w:tblCellMar>
            <w:top w:w="0" w:type="dxa"/>
            <w:bottom w:w="0" w:type="dxa"/>
          </w:tblCellMar>
        </w:tblPrEx>
        <w:trPr>
          <w:cantSplit/>
        </w:trPr>
        <w:tc>
          <w:tcPr>
            <w:tcW w:w="1666" w:type="pct"/>
            <w:tcBorders>
              <w:bottom w:val="single" w:sz="4" w:space="0" w:color="D9D9D9"/>
            </w:tcBorders>
            <w:shd w:val="clear" w:color="auto" w:fill="auto"/>
            <w:tcMar>
              <w:top w:w="120" w:type="dxa"/>
              <w:left w:w="120" w:type="dxa"/>
              <w:bottom w:w="120" w:type="dxa"/>
              <w:right w:w="120" w:type="dxa"/>
            </w:tcMar>
            <w:vAlign w:val="center"/>
          </w:tcPr>
          <w:p w14:paraId="4B21C338" w14:textId="63D6D6DC" w:rsidR="00F468C6" w:rsidRPr="00F468C6" w:rsidRDefault="00F468C6" w:rsidP="00F468C6">
            <w:pPr>
              <w:spacing w:after="40"/>
              <w:rPr>
                <w:sz w:val="18"/>
              </w:rPr>
            </w:pPr>
            <w:r w:rsidRPr="00F468C6">
              <w:rPr>
                <w:sz w:val="18"/>
              </w:rPr>
              <w:t>Case review</w:t>
            </w:r>
          </w:p>
        </w:tc>
        <w:tc>
          <w:tcPr>
            <w:tcW w:w="1666" w:type="pct"/>
            <w:tcBorders>
              <w:bottom w:val="single" w:sz="4" w:space="0" w:color="D9D9D9"/>
            </w:tcBorders>
            <w:shd w:val="clear" w:color="auto" w:fill="auto"/>
            <w:tcMar>
              <w:top w:w="120" w:type="dxa"/>
              <w:left w:w="120" w:type="dxa"/>
              <w:bottom w:w="120" w:type="dxa"/>
              <w:right w:w="120" w:type="dxa"/>
            </w:tcMar>
            <w:vAlign w:val="center"/>
          </w:tcPr>
          <w:p w14:paraId="694B1CD3" w14:textId="43FD989A" w:rsidR="00F468C6" w:rsidRPr="00F468C6" w:rsidRDefault="00F468C6" w:rsidP="00F468C6">
            <w:pPr>
              <w:spacing w:after="40"/>
              <w:rPr>
                <w:sz w:val="18"/>
              </w:rPr>
            </w:pPr>
            <w:r w:rsidRPr="00F468C6">
              <w:rPr>
                <w:sz w:val="18"/>
              </w:rPr>
              <w:t>Reason for the alert and transaction context</w:t>
            </w:r>
          </w:p>
        </w:tc>
        <w:tc>
          <w:tcPr>
            <w:tcW w:w="1667" w:type="pct"/>
            <w:tcBorders>
              <w:bottom w:val="single" w:sz="4" w:space="0" w:color="D9D9D9"/>
            </w:tcBorders>
            <w:shd w:val="clear" w:color="auto" w:fill="auto"/>
            <w:tcMar>
              <w:top w:w="120" w:type="dxa"/>
              <w:left w:w="120" w:type="dxa"/>
              <w:bottom w:w="120" w:type="dxa"/>
              <w:right w:w="120" w:type="dxa"/>
            </w:tcMar>
            <w:vAlign w:val="center"/>
          </w:tcPr>
          <w:p w14:paraId="019DB08F" w14:textId="72D42E40" w:rsidR="00F468C6" w:rsidRPr="00F468C6" w:rsidRDefault="00F468C6" w:rsidP="00F468C6">
            <w:pPr>
              <w:spacing w:after="40"/>
              <w:rPr>
                <w:sz w:val="18"/>
              </w:rPr>
            </w:pPr>
            <w:r w:rsidRPr="00F468C6">
              <w:rPr>
                <w:sz w:val="18"/>
              </w:rPr>
              <w:t>Supports an explainable decision</w:t>
            </w:r>
          </w:p>
        </w:tc>
      </w:tr>
      <w:tr w:rsidR="00F468C6" w:rsidRPr="00F468C6" w14:paraId="144657CF" w14:textId="77777777" w:rsidTr="00F468C6">
        <w:tblPrEx>
          <w:tblCellMar>
            <w:top w:w="0" w:type="dxa"/>
            <w:bottom w:w="0" w:type="dxa"/>
          </w:tblCellMar>
        </w:tblPrEx>
        <w:trPr>
          <w:cantSplit/>
        </w:trPr>
        <w:tc>
          <w:tcPr>
            <w:tcW w:w="1666" w:type="pct"/>
            <w:shd w:val="clear" w:color="auto" w:fill="F6F7FA"/>
            <w:tcMar>
              <w:top w:w="120" w:type="dxa"/>
              <w:left w:w="120" w:type="dxa"/>
              <w:bottom w:w="120" w:type="dxa"/>
              <w:right w:w="120" w:type="dxa"/>
            </w:tcMar>
            <w:vAlign w:val="center"/>
          </w:tcPr>
          <w:p w14:paraId="07565235" w14:textId="50FF3314" w:rsidR="00F468C6" w:rsidRPr="00F468C6" w:rsidRDefault="00F468C6" w:rsidP="00F468C6">
            <w:pPr>
              <w:spacing w:after="40"/>
              <w:rPr>
                <w:sz w:val="18"/>
              </w:rPr>
            </w:pPr>
            <w:r w:rsidRPr="00F468C6">
              <w:rPr>
                <w:sz w:val="18"/>
              </w:rPr>
              <w:t>Model health</w:t>
            </w:r>
          </w:p>
        </w:tc>
        <w:tc>
          <w:tcPr>
            <w:tcW w:w="1666" w:type="pct"/>
            <w:shd w:val="clear" w:color="auto" w:fill="F6F7FA"/>
            <w:tcMar>
              <w:top w:w="120" w:type="dxa"/>
              <w:left w:w="120" w:type="dxa"/>
              <w:bottom w:w="120" w:type="dxa"/>
              <w:right w:w="120" w:type="dxa"/>
            </w:tcMar>
            <w:vAlign w:val="center"/>
          </w:tcPr>
          <w:p w14:paraId="159C5E36" w14:textId="69575A68" w:rsidR="00F468C6" w:rsidRPr="00F468C6" w:rsidRDefault="00F468C6" w:rsidP="00F468C6">
            <w:pPr>
              <w:spacing w:after="40"/>
              <w:rPr>
                <w:sz w:val="18"/>
              </w:rPr>
            </w:pPr>
            <w:r w:rsidRPr="00F468C6">
              <w:rPr>
                <w:sz w:val="18"/>
              </w:rPr>
              <w:t>Precision, recall, and false-positive rate</w:t>
            </w:r>
          </w:p>
        </w:tc>
        <w:tc>
          <w:tcPr>
            <w:tcW w:w="1667" w:type="pct"/>
            <w:shd w:val="clear" w:color="auto" w:fill="F6F7FA"/>
            <w:tcMar>
              <w:top w:w="120" w:type="dxa"/>
              <w:left w:w="120" w:type="dxa"/>
              <w:bottom w:w="120" w:type="dxa"/>
              <w:right w:w="120" w:type="dxa"/>
            </w:tcMar>
            <w:vAlign w:val="center"/>
          </w:tcPr>
          <w:p w14:paraId="2AD6FA20" w14:textId="5734474F" w:rsidR="00F468C6" w:rsidRPr="00F468C6" w:rsidRDefault="00F468C6" w:rsidP="00F468C6">
            <w:pPr>
              <w:spacing w:after="40"/>
              <w:rPr>
                <w:sz w:val="18"/>
              </w:rPr>
            </w:pPr>
            <w:r w:rsidRPr="00F468C6">
              <w:rPr>
                <w:sz w:val="18"/>
              </w:rPr>
              <w:t>Shows whether detection quality is changing</w:t>
            </w:r>
          </w:p>
        </w:tc>
      </w:tr>
    </w:tbl>
    <w:p w14:paraId="12E11195" w14:textId="77777777" w:rsidR="00F468C6" w:rsidRPr="00F468C6" w:rsidRDefault="00F468C6" w:rsidP="00F468C6">
      <w:pPr>
        <w:spacing w:after="60"/>
      </w:pPr>
    </w:p>
    <w:p w14:paraId="279064B8" w14:textId="5B4F4F24" w:rsidR="00F468C6" w:rsidRPr="00F468C6" w:rsidRDefault="00F468C6" w:rsidP="00F468C6">
      <w:pPr>
        <w:pStyle w:val="Heading2"/>
        <w:spacing w:after="100"/>
      </w:pPr>
      <w:r>
        <w:t>A few important risk signals</w:t>
      </w:r>
    </w:p>
    <w:p w14:paraId="3CD1E51D" w14:textId="120095BB" w:rsidR="00F468C6" w:rsidRPr="00F468C6" w:rsidRDefault="00F468C6" w:rsidP="00F468C6">
      <w:pPr>
        <w:pStyle w:val="ListParagraph"/>
        <w:numPr>
          <w:ilvl w:val="0"/>
          <w:numId w:val="2"/>
        </w:numPr>
        <w:spacing w:after="80"/>
        <w:ind w:left="360" w:hanging="180"/>
      </w:pPr>
      <w:r>
        <w:t>Velocity spike means many payments occurred in a short period.</w:t>
      </w:r>
    </w:p>
    <w:p w14:paraId="59E3C4C5" w14:textId="04ADCF54" w:rsidR="00F468C6" w:rsidRPr="00F468C6" w:rsidRDefault="00F468C6" w:rsidP="00F468C6">
      <w:pPr>
        <w:pStyle w:val="ListParagraph"/>
        <w:numPr>
          <w:ilvl w:val="0"/>
          <w:numId w:val="2"/>
        </w:numPr>
        <w:spacing w:after="80"/>
        <w:ind w:left="360" w:hanging="180"/>
      </w:pPr>
      <w:r>
        <w:t>New device means the payment came from a device that the customer has not used before.</w:t>
      </w:r>
    </w:p>
    <w:p w14:paraId="0EDE63F8" w14:textId="2E62B49D" w:rsidR="00F468C6" w:rsidRPr="00F468C6" w:rsidRDefault="00F468C6" w:rsidP="00F468C6">
      <w:pPr>
        <w:pStyle w:val="ListParagraph"/>
        <w:numPr>
          <w:ilvl w:val="0"/>
          <w:numId w:val="2"/>
        </w:numPr>
        <w:spacing w:after="80"/>
        <w:ind w:left="360" w:hanging="180"/>
      </w:pPr>
      <w:r>
        <w:t>Location anomaly means the location changed faster than normal travel would allow.</w:t>
      </w:r>
    </w:p>
    <w:p w14:paraId="7316024A" w14:textId="49B3237C" w:rsidR="00F468C6" w:rsidRPr="00F468C6" w:rsidRDefault="00F468C6" w:rsidP="00F468C6">
      <w:pPr>
        <w:pStyle w:val="ListParagraph"/>
        <w:numPr>
          <w:ilvl w:val="0"/>
          <w:numId w:val="2"/>
        </w:numPr>
        <w:spacing w:after="80"/>
        <w:ind w:left="360" w:hanging="180"/>
      </w:pPr>
      <w:r>
        <w:t>Merchant risk means the merchant or category has an elevated risk profile.</w:t>
      </w:r>
    </w:p>
    <w:p w14:paraId="07AB178D" w14:textId="15D08425" w:rsidR="00F468C6" w:rsidRPr="00F468C6" w:rsidRDefault="00F468C6" w:rsidP="00F468C6">
      <w:pPr>
        <w:spacing w:after="0"/>
        <w:rPr>
          <w:b/>
        </w:rPr>
      </w:pPr>
      <w:r w:rsidRPr="00F468C6">
        <w:rPr>
          <w:b/>
        </w:rPr>
        <w:t>A signal is a reason to investigate. It is not proof that the customer committed fraud.</w:t>
      </w:r>
    </w:p>
    <w:p w14:paraId="0A5263EF" w14:textId="7B6A3B61" w:rsidR="00F468C6" w:rsidRDefault="00F468C6">
      <w:pPr>
        <w:spacing w:after="100" w:line="257" w:lineRule="auto"/>
      </w:pPr>
      <w:r>
        <w:br w:type="page"/>
      </w:r>
    </w:p>
    <w:p w14:paraId="3575046E" w14:textId="52A9E824" w:rsidR="00F468C6" w:rsidRPr="00F468C6" w:rsidRDefault="00F468C6" w:rsidP="00F468C6">
      <w:pPr>
        <w:keepNext/>
        <w:spacing w:after="100"/>
      </w:pPr>
      <w:r w:rsidRPr="00F468C6">
        <w:rPr>
          <w:b/>
          <w:caps/>
          <w:color w:val="6557D9"/>
          <w:sz w:val="16"/>
        </w:rPr>
        <w:t>Technology design</w:t>
      </w:r>
    </w:p>
    <w:p w14:paraId="276B18FA" w14:textId="422E76E7" w:rsidR="00F468C6" w:rsidRPr="00F468C6" w:rsidRDefault="00F468C6" w:rsidP="00F468C6">
      <w:pPr>
        <w:pStyle w:val="Heading1"/>
        <w:spacing w:after="180"/>
      </w:pPr>
      <w:r>
        <w:t>How the demonstration could become a real system</w:t>
      </w:r>
    </w:p>
    <w:p w14:paraId="15719A05" w14:textId="68166DB7" w:rsidR="00F468C6" w:rsidRPr="00F468C6" w:rsidRDefault="00F468C6" w:rsidP="00F468C6">
      <w:pPr>
        <w:spacing w:after="200"/>
      </w:pPr>
      <w:r>
        <w:t>The current interface runs entirely in the browser. A production system would separate the user interface from transaction ingestion, scoring, case management, storage, and audit services.</w:t>
      </w:r>
    </w:p>
    <w:p w14:paraId="51A2A811" w14:textId="28E45E7D" w:rsidR="00F468C6" w:rsidRDefault="00F468C6" w:rsidP="00F468C6">
      <w:pPr>
        <w:jc w:val="center"/>
      </w:pPr>
      <w:r>
        <w:rPr>
          <w:noProof/>
        </w:rPr>
        <w:drawing>
          <wp:inline distT="0" distB="0" distL="0" distR="0" wp14:anchorId="5C09B315" wp14:editId="715480A8">
            <wp:extent cx="6070600" cy="3287978"/>
            <wp:effectExtent l="0" t="0" r="6350" b="8255"/>
            <wp:docPr id="3" name="Picture 3" descr="Architecture diagram for a production transaction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chitecture diagram for a production transaction monitoring system"/>
                    <pic:cNvPicPr/>
                  </pic:nvPicPr>
                  <pic:blipFill>
                    <a:blip r:embed="rId9">
                      <a:extLst>
                        <a:ext uri="{28A0092B-C50C-407E-A947-70E740481C1C}">
                          <a14:useLocalDpi xmlns:a14="http://schemas.microsoft.com/office/drawing/2010/main" val="0"/>
                        </a:ext>
                      </a:extLst>
                    </a:blip>
                    <a:stretch>
                      <a:fillRect/>
                    </a:stretch>
                  </pic:blipFill>
                  <pic:spPr>
                    <a:xfrm>
                      <a:off x="0" y="0"/>
                      <a:ext cx="6070600" cy="3287978"/>
                    </a:xfrm>
                    <a:prstGeom prst="rect">
                      <a:avLst/>
                    </a:prstGeom>
                  </pic:spPr>
                </pic:pic>
              </a:graphicData>
            </a:graphic>
          </wp:inline>
        </w:drawing>
      </w:r>
    </w:p>
    <w:p w14:paraId="0E8C3A75" w14:textId="5D3992FA" w:rsidR="00F468C6" w:rsidRPr="00F468C6" w:rsidRDefault="00F468C6" w:rsidP="00F468C6">
      <w:pPr>
        <w:spacing w:after="180"/>
        <w:jc w:val="center"/>
        <w:rPr>
          <w:i/>
          <w:color w:val="5C606F"/>
          <w:sz w:val="16"/>
        </w:rPr>
      </w:pPr>
      <w:r w:rsidRPr="00F468C6">
        <w:rPr>
          <w:i/>
          <w:color w:val="5C606F"/>
          <w:sz w:val="16"/>
        </w:rPr>
        <w:t>Figure 3  Suggested production architecture for Northstar</w:t>
      </w:r>
    </w:p>
    <w:p w14:paraId="7FD9AFC8" w14:textId="49C36DF1" w:rsidR="00F468C6" w:rsidRPr="00F468C6" w:rsidRDefault="00F468C6" w:rsidP="00F468C6">
      <w:pPr>
        <w:pStyle w:val="Heading2"/>
        <w:spacing w:after="100"/>
      </w:pPr>
      <w:r>
        <w:t>Current project files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00"/>
        <w:gridCol w:w="7000"/>
      </w:tblGrid>
      <w:tr w:rsidR="00F468C6" w:rsidRPr="00F468C6" w14:paraId="0151FA6E"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3EE04537" w14:textId="20AB28F6" w:rsidR="00F468C6" w:rsidRPr="00F468C6" w:rsidRDefault="00F468C6">
            <w:pPr>
              <w:rPr>
                <w:b/>
                <w:color w:val="6557D9"/>
                <w:sz w:val="19"/>
              </w:rPr>
            </w:pPr>
            <w:r w:rsidRPr="00F468C6">
              <w:rPr>
                <w:b/>
                <w:color w:val="6557D9"/>
                <w:sz w:val="19"/>
              </w:rPr>
              <w:t>index.html</w:t>
            </w:r>
          </w:p>
        </w:tc>
        <w:tc>
          <w:tcPr>
            <w:tcW w:w="7000" w:type="dxa"/>
            <w:shd w:val="clear" w:color="auto" w:fill="auto"/>
            <w:tcMar>
              <w:top w:w="140" w:type="dxa"/>
              <w:left w:w="140" w:type="dxa"/>
              <w:bottom w:w="140" w:type="dxa"/>
              <w:right w:w="140" w:type="dxa"/>
            </w:tcMar>
            <w:vAlign w:val="center"/>
          </w:tcPr>
          <w:p w14:paraId="3CCC3675" w14:textId="614F1E50" w:rsidR="00F468C6" w:rsidRPr="00F468C6" w:rsidRDefault="00F468C6">
            <w:pPr>
              <w:rPr>
                <w:sz w:val="19"/>
              </w:rPr>
            </w:pPr>
            <w:r w:rsidRPr="00F468C6">
              <w:rPr>
                <w:sz w:val="19"/>
              </w:rPr>
              <w:t>Defines the dashboard, sample transactions, tables, charts, and case dialog.</w:t>
            </w:r>
          </w:p>
        </w:tc>
      </w:tr>
      <w:tr w:rsidR="00F468C6" w:rsidRPr="00F468C6" w14:paraId="510748C3"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4100EBDC" w14:textId="334ABEB3" w:rsidR="00F468C6" w:rsidRPr="00F468C6" w:rsidRDefault="00F468C6">
            <w:pPr>
              <w:rPr>
                <w:b/>
                <w:color w:val="6557D9"/>
                <w:sz w:val="19"/>
              </w:rPr>
            </w:pPr>
            <w:r w:rsidRPr="00F468C6">
              <w:rPr>
                <w:b/>
                <w:color w:val="6557D9"/>
                <w:sz w:val="19"/>
              </w:rPr>
              <w:t>styles.css</w:t>
            </w:r>
          </w:p>
        </w:tc>
        <w:tc>
          <w:tcPr>
            <w:tcW w:w="7000" w:type="dxa"/>
            <w:shd w:val="clear" w:color="auto" w:fill="auto"/>
            <w:tcMar>
              <w:top w:w="140" w:type="dxa"/>
              <w:left w:w="140" w:type="dxa"/>
              <w:bottom w:w="140" w:type="dxa"/>
              <w:right w:w="140" w:type="dxa"/>
            </w:tcMar>
            <w:vAlign w:val="center"/>
          </w:tcPr>
          <w:p w14:paraId="5B651C9B" w14:textId="5582B87C" w:rsidR="00F468C6" w:rsidRPr="00F468C6" w:rsidRDefault="00F468C6">
            <w:pPr>
              <w:rPr>
                <w:sz w:val="19"/>
              </w:rPr>
            </w:pPr>
            <w:r w:rsidRPr="00F468C6">
              <w:rPr>
                <w:sz w:val="19"/>
              </w:rPr>
              <w:t>Controls the visual design, responsive layout, tables, charts, and mobile navigation.</w:t>
            </w:r>
          </w:p>
        </w:tc>
      </w:tr>
      <w:tr w:rsidR="00F468C6" w:rsidRPr="00F468C6" w14:paraId="380933A9"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1F7F549B" w14:textId="12EC56A0" w:rsidR="00F468C6" w:rsidRPr="00F468C6" w:rsidRDefault="00F468C6">
            <w:pPr>
              <w:rPr>
                <w:b/>
                <w:color w:val="6557D9"/>
                <w:sz w:val="19"/>
              </w:rPr>
            </w:pPr>
            <w:r w:rsidRPr="00F468C6">
              <w:rPr>
                <w:b/>
                <w:color w:val="6557D9"/>
                <w:sz w:val="19"/>
              </w:rPr>
              <w:t>script.js</w:t>
            </w:r>
          </w:p>
        </w:tc>
        <w:tc>
          <w:tcPr>
            <w:tcW w:w="7000" w:type="dxa"/>
            <w:shd w:val="clear" w:color="auto" w:fill="auto"/>
            <w:tcMar>
              <w:top w:w="140" w:type="dxa"/>
              <w:left w:w="140" w:type="dxa"/>
              <w:bottom w:w="140" w:type="dxa"/>
              <w:right w:w="140" w:type="dxa"/>
            </w:tcMar>
            <w:vAlign w:val="center"/>
          </w:tcPr>
          <w:p w14:paraId="72DD8A22" w14:textId="0FC3E8FB" w:rsidR="00F468C6" w:rsidRPr="00F468C6" w:rsidRDefault="00F468C6">
            <w:pPr>
              <w:rPr>
                <w:sz w:val="19"/>
              </w:rPr>
            </w:pPr>
            <w:r w:rsidRPr="00F468C6">
              <w:rPr>
                <w:sz w:val="19"/>
              </w:rPr>
              <w:t>Handles search, risk filters, case review, decisions, notifications, and number animation.</w:t>
            </w:r>
          </w:p>
        </w:tc>
      </w:tr>
      <w:tr w:rsidR="00F468C6" w:rsidRPr="00F468C6" w14:paraId="4DFDE79C"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540FB73B" w14:textId="69CDA924" w:rsidR="00F468C6" w:rsidRPr="00F468C6" w:rsidRDefault="00F468C6">
            <w:pPr>
              <w:rPr>
                <w:b/>
                <w:color w:val="6557D9"/>
                <w:sz w:val="19"/>
              </w:rPr>
            </w:pPr>
            <w:r w:rsidRPr="00F468C6">
              <w:rPr>
                <w:b/>
                <w:color w:val="6557D9"/>
                <w:sz w:val="19"/>
              </w:rPr>
              <w:t>README.md</w:t>
            </w:r>
          </w:p>
        </w:tc>
        <w:tc>
          <w:tcPr>
            <w:tcW w:w="7000" w:type="dxa"/>
            <w:shd w:val="clear" w:color="auto" w:fill="auto"/>
            <w:tcMar>
              <w:top w:w="140" w:type="dxa"/>
              <w:left w:w="140" w:type="dxa"/>
              <w:bottom w:w="140" w:type="dxa"/>
              <w:right w:w="140" w:type="dxa"/>
            </w:tcMar>
            <w:vAlign w:val="center"/>
          </w:tcPr>
          <w:p w14:paraId="79F52E4B" w14:textId="11DEC09E" w:rsidR="00F468C6" w:rsidRPr="00F468C6" w:rsidRDefault="00F468C6">
            <w:pPr>
              <w:rPr>
                <w:sz w:val="19"/>
              </w:rPr>
            </w:pPr>
            <w:r w:rsidRPr="00F468C6">
              <w:rPr>
                <w:sz w:val="19"/>
              </w:rPr>
              <w:t>Provides a short project summary and explains that the data is synthetic.</w:t>
            </w:r>
          </w:p>
        </w:tc>
      </w:tr>
    </w:tbl>
    <w:p w14:paraId="158FD3F7" w14:textId="77777777" w:rsidR="00F468C6" w:rsidRPr="00F468C6" w:rsidRDefault="00F468C6" w:rsidP="00F468C6">
      <w:pPr>
        <w:spacing w:after="40"/>
      </w:pPr>
    </w:p>
    <w:p w14:paraId="1B552B83" w14:textId="2D7304DA" w:rsidR="00F468C6" w:rsidRDefault="00F468C6">
      <w:pPr>
        <w:spacing w:after="100" w:line="257" w:lineRule="auto"/>
      </w:pPr>
      <w:r>
        <w:br w:type="page"/>
      </w:r>
    </w:p>
    <w:p w14:paraId="308DE4E1" w14:textId="6ABCDA3B" w:rsidR="00F468C6" w:rsidRPr="00F468C6" w:rsidRDefault="00F468C6" w:rsidP="00F468C6">
      <w:pPr>
        <w:keepNext/>
        <w:spacing w:after="100"/>
      </w:pPr>
      <w:r w:rsidRPr="00F468C6">
        <w:rPr>
          <w:b/>
          <w:caps/>
          <w:color w:val="6557D9"/>
          <w:sz w:val="16"/>
        </w:rPr>
        <w:t>Real case example 1</w:t>
      </w:r>
    </w:p>
    <w:p w14:paraId="60E2755A" w14:textId="7CE6C092" w:rsidR="00F468C6" w:rsidRPr="00F468C6" w:rsidRDefault="00F468C6" w:rsidP="00F468C6">
      <w:pPr>
        <w:pStyle w:val="Heading1"/>
        <w:spacing w:after="180"/>
      </w:pPr>
      <w:r>
        <w:t>Bangladesh Bank SWIFT theft</w:t>
      </w:r>
    </w:p>
    <w:p w14:paraId="0D57D082" w14:textId="13EBDDC5" w:rsidR="00F468C6" w:rsidRPr="00F468C6" w:rsidRDefault="00F468C6" w:rsidP="00F468C6">
      <w:pPr>
        <w:spacing w:after="200"/>
      </w:pPr>
      <w:r>
        <w:t>In February 2016, attackers stole USD 81 million from Bangladesh Bank. According to the United States Department of Justice, the attackers compromised the bank network after spear-phishing activity, reached terminals connected to the SWIFT system, and sent fraudulently authenticated transfer messages. The money moved to accounts in other Asian countries. [1]</w:t>
      </w:r>
    </w:p>
    <w:p w14:paraId="52F7838B" w14:textId="06EBEE0D" w:rsidR="00F468C6" w:rsidRPr="00F468C6" w:rsidRDefault="00F468C6" w:rsidP="00F468C6">
      <w:pPr>
        <w:pStyle w:val="Heading2"/>
        <w:spacing w:after="100"/>
      </w:pPr>
      <w:r>
        <w:t>What this case teaches</w:t>
      </w:r>
    </w:p>
    <w:p w14:paraId="687C62EC" w14:textId="39F33886" w:rsidR="00F468C6" w:rsidRPr="00F468C6" w:rsidRDefault="00F468C6" w:rsidP="00F468C6">
      <w:pPr>
        <w:pStyle w:val="ListParagraph"/>
        <w:numPr>
          <w:ilvl w:val="0"/>
          <w:numId w:val="3"/>
        </w:numPr>
        <w:spacing w:after="80"/>
        <w:ind w:left="360" w:hanging="180"/>
      </w:pPr>
      <w:r>
        <w:t>A payment message can look technically valid even when the system that created it has been compromised.</w:t>
      </w:r>
    </w:p>
    <w:p w14:paraId="4AE7CEBE" w14:textId="39F10ECD" w:rsidR="00F468C6" w:rsidRPr="00F468C6" w:rsidRDefault="00F468C6" w:rsidP="00F468C6">
      <w:pPr>
        <w:pStyle w:val="ListParagraph"/>
        <w:numPr>
          <w:ilvl w:val="0"/>
          <w:numId w:val="3"/>
        </w:numPr>
        <w:spacing w:after="80"/>
        <w:ind w:left="360" w:hanging="180"/>
      </w:pPr>
      <w:r>
        <w:t>Monitoring must consider new beneficiaries, unusual countries, abnormal values, timing, and repeated transfer attempts.</w:t>
      </w:r>
    </w:p>
    <w:p w14:paraId="4B453AE4" w14:textId="1487A022" w:rsidR="00F468C6" w:rsidRPr="00F468C6" w:rsidRDefault="00F468C6" w:rsidP="00F468C6">
      <w:pPr>
        <w:pStyle w:val="ListParagraph"/>
        <w:numPr>
          <w:ilvl w:val="0"/>
          <w:numId w:val="3"/>
        </w:numPr>
        <w:spacing w:after="80"/>
        <w:ind w:left="360" w:hanging="180"/>
      </w:pPr>
      <w:r>
        <w:t>Strong endpoint security, payment approval, reconciliation, and escalation are as important as the dashboard.</w:t>
      </w:r>
    </w:p>
    <w:p w14:paraId="0B95FFEB" w14:textId="0813E33E" w:rsidR="00F468C6" w:rsidRPr="00F468C6" w:rsidRDefault="00F468C6" w:rsidP="00F468C6">
      <w:pPr>
        <w:pStyle w:val="Heading2"/>
        <w:spacing w:after="100"/>
      </w:pPr>
      <w:r>
        <w:t>Connection to Northstar</w:t>
      </w:r>
    </w:p>
    <w:p w14:paraId="014D2869" w14:textId="00FA6A2B" w:rsidR="00F468C6" w:rsidRPr="00F468C6" w:rsidRDefault="00F468C6" w:rsidP="00F468C6">
      <w:pPr>
        <w:spacing w:after="240"/>
      </w:pPr>
      <w:r>
        <w:t>Northstar could place an unusual international transfer at the top of the review queue and explain which behaviors drove the score. In a real bank, the case would also need beneficiary screening, sanctions controls, dual approval, and rapid communication with payment operations.</w:t>
      </w:r>
    </w:p>
    <w:p w14:paraId="1B22E4F5" w14:textId="2618400F" w:rsidR="00F468C6" w:rsidRPr="00F468C6" w:rsidRDefault="00F468C6" w:rsidP="00F468C6">
      <w:pPr>
        <w:pStyle w:val="Heading2"/>
        <w:spacing w:after="100"/>
      </w:pPr>
      <w:r>
        <w:t>Simple scenario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00"/>
        <w:gridCol w:w="7000"/>
      </w:tblGrid>
      <w:tr w:rsidR="00F468C6" w:rsidRPr="00F468C6" w14:paraId="6B7C33A3"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31FFD702" w14:textId="41FA569D" w:rsidR="00F468C6" w:rsidRPr="00F468C6" w:rsidRDefault="00F468C6">
            <w:pPr>
              <w:rPr>
                <w:b/>
                <w:color w:val="6557D9"/>
                <w:sz w:val="19"/>
              </w:rPr>
            </w:pPr>
            <w:r w:rsidRPr="00F468C6">
              <w:rPr>
                <w:b/>
                <w:color w:val="6557D9"/>
                <w:sz w:val="19"/>
              </w:rPr>
              <w:t>Observed behavior</w:t>
            </w:r>
          </w:p>
        </w:tc>
        <w:tc>
          <w:tcPr>
            <w:tcW w:w="7000" w:type="dxa"/>
            <w:shd w:val="clear" w:color="auto" w:fill="auto"/>
            <w:tcMar>
              <w:top w:w="140" w:type="dxa"/>
              <w:left w:w="140" w:type="dxa"/>
              <w:bottom w:w="140" w:type="dxa"/>
              <w:right w:w="140" w:type="dxa"/>
            </w:tcMar>
            <w:vAlign w:val="center"/>
          </w:tcPr>
          <w:p w14:paraId="3EE82910" w14:textId="3BD9A133" w:rsidR="00F468C6" w:rsidRPr="00F468C6" w:rsidRDefault="00F468C6">
            <w:pPr>
              <w:rPr>
                <w:sz w:val="19"/>
              </w:rPr>
            </w:pPr>
            <w:r w:rsidRPr="00F468C6">
              <w:rPr>
                <w:sz w:val="19"/>
              </w:rPr>
              <w:t>A high-value payment is sent to a newly added overseas beneficiary outside the customer's normal operating hours.</w:t>
            </w:r>
          </w:p>
        </w:tc>
      </w:tr>
      <w:tr w:rsidR="00F468C6" w:rsidRPr="00F468C6" w14:paraId="0985D329"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16D5D27A" w14:textId="2709E50A" w:rsidR="00F468C6" w:rsidRPr="00F468C6" w:rsidRDefault="00F468C6">
            <w:pPr>
              <w:rPr>
                <w:b/>
                <w:color w:val="6557D9"/>
                <w:sz w:val="19"/>
              </w:rPr>
            </w:pPr>
            <w:r w:rsidRPr="00F468C6">
              <w:rPr>
                <w:b/>
                <w:color w:val="6557D9"/>
                <w:sz w:val="19"/>
              </w:rPr>
              <w:t>Possible signals</w:t>
            </w:r>
          </w:p>
        </w:tc>
        <w:tc>
          <w:tcPr>
            <w:tcW w:w="7000" w:type="dxa"/>
            <w:shd w:val="clear" w:color="auto" w:fill="auto"/>
            <w:tcMar>
              <w:top w:w="140" w:type="dxa"/>
              <w:left w:w="140" w:type="dxa"/>
              <w:bottom w:w="140" w:type="dxa"/>
              <w:right w:w="140" w:type="dxa"/>
            </w:tcMar>
            <w:vAlign w:val="center"/>
          </w:tcPr>
          <w:p w14:paraId="23F85948" w14:textId="41A47D5C" w:rsidR="00F468C6" w:rsidRPr="00F468C6" w:rsidRDefault="00F468C6">
            <w:pPr>
              <w:rPr>
                <w:sz w:val="19"/>
              </w:rPr>
            </w:pPr>
            <w:r w:rsidRPr="00F468C6">
              <w:rPr>
                <w:sz w:val="19"/>
              </w:rPr>
              <w:t>New beneficiary, unusual country, value anomaly, and unusual time.</w:t>
            </w:r>
          </w:p>
        </w:tc>
      </w:tr>
      <w:tr w:rsidR="00F468C6" w:rsidRPr="00F468C6" w14:paraId="5CF51A2F"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6E02819E" w14:textId="5E6A0C42" w:rsidR="00F468C6" w:rsidRPr="00F468C6" w:rsidRDefault="00F468C6">
            <w:pPr>
              <w:rPr>
                <w:b/>
                <w:color w:val="6557D9"/>
                <w:sz w:val="19"/>
              </w:rPr>
            </w:pPr>
            <w:r w:rsidRPr="00F468C6">
              <w:rPr>
                <w:b/>
                <w:color w:val="6557D9"/>
                <w:sz w:val="19"/>
              </w:rPr>
              <w:t>Analyst action</w:t>
            </w:r>
          </w:p>
        </w:tc>
        <w:tc>
          <w:tcPr>
            <w:tcW w:w="7000" w:type="dxa"/>
            <w:shd w:val="clear" w:color="auto" w:fill="auto"/>
            <w:tcMar>
              <w:top w:w="140" w:type="dxa"/>
              <w:left w:w="140" w:type="dxa"/>
              <w:bottom w:w="140" w:type="dxa"/>
              <w:right w:w="140" w:type="dxa"/>
            </w:tcMar>
            <w:vAlign w:val="center"/>
          </w:tcPr>
          <w:p w14:paraId="71336D4D" w14:textId="25653803" w:rsidR="00F468C6" w:rsidRPr="00F468C6" w:rsidRDefault="00F468C6">
            <w:pPr>
              <w:rPr>
                <w:sz w:val="19"/>
              </w:rPr>
            </w:pPr>
            <w:r w:rsidRPr="00F468C6">
              <w:rPr>
                <w:sz w:val="19"/>
              </w:rPr>
              <w:t>Pause the transaction, verify the customer request through an independent channel, and escalate if the evidence remains suspicious.</w:t>
            </w:r>
          </w:p>
        </w:tc>
      </w:tr>
    </w:tbl>
    <w:p w14:paraId="00E9D836" w14:textId="77777777" w:rsidR="00F468C6" w:rsidRPr="00F468C6" w:rsidRDefault="00F468C6" w:rsidP="00F468C6">
      <w:pPr>
        <w:spacing w:after="40"/>
      </w:pPr>
    </w:p>
    <w:p w14:paraId="470CD0E9" w14:textId="51B74665" w:rsidR="00F468C6" w:rsidRDefault="00F468C6">
      <w:pPr>
        <w:spacing w:after="100" w:line="257" w:lineRule="auto"/>
      </w:pPr>
      <w:r>
        <w:br w:type="page"/>
      </w:r>
    </w:p>
    <w:p w14:paraId="7F148307" w14:textId="2962E26F" w:rsidR="00F468C6" w:rsidRPr="00F468C6" w:rsidRDefault="00F468C6" w:rsidP="00F468C6">
      <w:pPr>
        <w:keepNext/>
        <w:spacing w:after="100"/>
      </w:pPr>
      <w:r w:rsidRPr="00F468C6">
        <w:rPr>
          <w:b/>
          <w:caps/>
          <w:color w:val="6557D9"/>
          <w:sz w:val="16"/>
        </w:rPr>
        <w:t>Real case examples 2 and 3</w:t>
      </w:r>
    </w:p>
    <w:p w14:paraId="2EEBDBFA" w14:textId="222A3968" w:rsidR="00F468C6" w:rsidRPr="00F468C6" w:rsidRDefault="00F468C6" w:rsidP="00F468C6">
      <w:pPr>
        <w:pStyle w:val="Heading1"/>
        <w:spacing w:after="140"/>
      </w:pPr>
      <w:r>
        <w:t>Capital One cloud risk enforcement action</w:t>
      </w:r>
    </w:p>
    <w:p w14:paraId="6FDA3B84" w14:textId="0421FBA1" w:rsidR="00F468C6" w:rsidRPr="00F468C6" w:rsidRDefault="00F468C6" w:rsidP="00F468C6">
      <w:r>
        <w:t>In August 2020, the US Office of the Comptroller of the Currency assessed an USD 80 million civil money penalty against Capital One. The OCC said the bank had not established effective risk assessment processes before moving significant information technology operations to the public cloud and had not corrected identified deficiencies in a timely manner. [2]</w:t>
      </w:r>
    </w:p>
    <w:p w14:paraId="2ECDABDF" w14:textId="71570F88" w:rsidR="00F468C6" w:rsidRPr="00F468C6" w:rsidRDefault="00F468C6" w:rsidP="00F468C6">
      <w:pPr>
        <w:pStyle w:val="Heading2"/>
        <w:spacing w:after="80"/>
      </w:pPr>
      <w:r>
        <w:t>Northstar lesson</w:t>
      </w:r>
    </w:p>
    <w:p w14:paraId="0B5FB2B2" w14:textId="05F4DCA6" w:rsidR="00F468C6" w:rsidRPr="00F468C6" w:rsidRDefault="00F468C6" w:rsidP="00F468C6">
      <w:pPr>
        <w:spacing w:after="240"/>
      </w:pPr>
      <w:r>
        <w:t>A well-designed dashboard cannot compensate for weak infrastructure controls. A production version needs secure cloud configuration, access controls, monitoring, vulnerability management, and evidence that problems are fixed.</w:t>
      </w:r>
    </w:p>
    <w:p w14:paraId="5E51DF6A" w14:textId="155BFF9F" w:rsidR="00F468C6" w:rsidRPr="00F468C6" w:rsidRDefault="00F468C6" w:rsidP="00F468C6">
      <w:pPr>
        <w:pStyle w:val="Heading1"/>
        <w:spacing w:after="140"/>
      </w:pPr>
      <w:r>
        <w:t>RBI restrictions on Paytm Payments Bank</w:t>
      </w:r>
    </w:p>
    <w:p w14:paraId="22363A01" w14:textId="708173A3" w:rsidR="00F468C6" w:rsidRPr="00F468C6" w:rsidRDefault="00F468C6" w:rsidP="00F468C6">
      <w:r>
        <w:t>In February 2024, the Reserve Bank of India modified earlier directions issued to Paytm Payments Bank under Section 35A of the Banking Regulation Act. The directions stopped further deposits, credit transactions, and wallet or FASTag top-ups after 15 March 2024, with listed exceptions, and restricted additional banking services while allowing customers to use available balances. [3]</w:t>
      </w:r>
    </w:p>
    <w:p w14:paraId="5924A6D1" w14:textId="29357C81" w:rsidR="00F468C6" w:rsidRPr="00F468C6" w:rsidRDefault="00F468C6" w:rsidP="00F468C6">
      <w:pPr>
        <w:pStyle w:val="Heading2"/>
        <w:spacing w:after="80"/>
      </w:pPr>
      <w:r>
        <w:t>Northstar lesson</w:t>
      </w:r>
    </w:p>
    <w:p w14:paraId="3987C8F7" w14:textId="54D6FEEB" w:rsidR="00F468C6" w:rsidRPr="00F468C6" w:rsidRDefault="00F468C6" w:rsidP="00F468C6">
      <w:pPr>
        <w:spacing w:after="200"/>
      </w:pPr>
      <w:r>
        <w:t>Regulatory controls affect product behavior and customer operations. A fintech system must support clear restrictions, accurate customer status, controlled exceptions, timely reporting, and an audit trail that shows how each rule was applied.</w:t>
      </w:r>
    </w:p>
    <w:p w14:paraId="171D29BD" w14:textId="3E9EE0D1" w:rsidR="00F468C6" w:rsidRPr="00F468C6" w:rsidRDefault="00F468C6" w:rsidP="00F468C6">
      <w:pPr>
        <w:pStyle w:val="Heading2"/>
        <w:spacing w:after="100"/>
      </w:pPr>
      <w:r>
        <w:t>How the three cases connect</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192"/>
        <w:gridCol w:w="3191"/>
        <w:gridCol w:w="3193"/>
      </w:tblGrid>
      <w:tr w:rsidR="00F468C6" w:rsidRPr="00F468C6" w14:paraId="45F96D8D" w14:textId="77777777" w:rsidTr="00F468C6">
        <w:tblPrEx>
          <w:tblCellMar>
            <w:top w:w="0" w:type="dxa"/>
            <w:bottom w:w="0" w:type="dxa"/>
          </w:tblCellMar>
        </w:tblPrEx>
        <w:trPr>
          <w:cantSplit/>
        </w:trPr>
        <w:tc>
          <w:tcPr>
            <w:tcW w:w="1666" w:type="pct"/>
            <w:shd w:val="clear" w:color="auto" w:fill="222844"/>
            <w:tcMar>
              <w:top w:w="120" w:type="dxa"/>
              <w:left w:w="120" w:type="dxa"/>
              <w:bottom w:w="120" w:type="dxa"/>
              <w:right w:w="120" w:type="dxa"/>
            </w:tcMar>
            <w:vAlign w:val="center"/>
          </w:tcPr>
          <w:p w14:paraId="36D157B8" w14:textId="117B1428" w:rsidR="00F468C6" w:rsidRPr="00F468C6" w:rsidRDefault="00F468C6" w:rsidP="00F468C6">
            <w:pPr>
              <w:spacing w:after="40"/>
              <w:rPr>
                <w:b/>
                <w:color w:val="FFFFFF"/>
                <w:sz w:val="18"/>
              </w:rPr>
            </w:pPr>
            <w:r w:rsidRPr="00F468C6">
              <w:rPr>
                <w:b/>
                <w:color w:val="FFFFFF"/>
                <w:sz w:val="18"/>
              </w:rPr>
              <w:t>Case</w:t>
            </w:r>
          </w:p>
        </w:tc>
        <w:tc>
          <w:tcPr>
            <w:tcW w:w="1666" w:type="pct"/>
            <w:shd w:val="clear" w:color="auto" w:fill="222844"/>
            <w:tcMar>
              <w:top w:w="120" w:type="dxa"/>
              <w:left w:w="120" w:type="dxa"/>
              <w:bottom w:w="120" w:type="dxa"/>
              <w:right w:w="120" w:type="dxa"/>
            </w:tcMar>
            <w:vAlign w:val="center"/>
          </w:tcPr>
          <w:p w14:paraId="181EFBD9" w14:textId="39C0F243" w:rsidR="00F468C6" w:rsidRPr="00F468C6" w:rsidRDefault="00F468C6" w:rsidP="00F468C6">
            <w:pPr>
              <w:spacing w:after="40"/>
              <w:rPr>
                <w:b/>
                <w:color w:val="FFFFFF"/>
                <w:sz w:val="18"/>
              </w:rPr>
            </w:pPr>
            <w:r w:rsidRPr="00F468C6">
              <w:rPr>
                <w:b/>
                <w:color w:val="FFFFFF"/>
                <w:sz w:val="18"/>
              </w:rPr>
              <w:t>Main risk</w:t>
            </w:r>
          </w:p>
        </w:tc>
        <w:tc>
          <w:tcPr>
            <w:tcW w:w="1667" w:type="pct"/>
            <w:shd w:val="clear" w:color="auto" w:fill="222844"/>
            <w:tcMar>
              <w:top w:w="120" w:type="dxa"/>
              <w:left w:w="120" w:type="dxa"/>
              <w:bottom w:w="120" w:type="dxa"/>
              <w:right w:w="120" w:type="dxa"/>
            </w:tcMar>
            <w:vAlign w:val="center"/>
          </w:tcPr>
          <w:p w14:paraId="77B06AAD" w14:textId="3A1AC2DE" w:rsidR="00F468C6" w:rsidRPr="00F468C6" w:rsidRDefault="00F468C6" w:rsidP="00F468C6">
            <w:pPr>
              <w:spacing w:after="40"/>
              <w:rPr>
                <w:b/>
                <w:color w:val="FFFFFF"/>
                <w:sz w:val="18"/>
              </w:rPr>
            </w:pPr>
            <w:r w:rsidRPr="00F468C6">
              <w:rPr>
                <w:b/>
                <w:color w:val="FFFFFF"/>
                <w:sz w:val="18"/>
              </w:rPr>
              <w:t>Project connection</w:t>
            </w:r>
          </w:p>
        </w:tc>
      </w:tr>
      <w:tr w:rsidR="00F468C6" w:rsidRPr="00F468C6" w14:paraId="3B81B036" w14:textId="77777777" w:rsidTr="00F468C6">
        <w:tblPrEx>
          <w:tblCellMar>
            <w:top w:w="0" w:type="dxa"/>
            <w:bottom w:w="0" w:type="dxa"/>
          </w:tblCellMar>
        </w:tblPrEx>
        <w:trPr>
          <w:cantSplit/>
        </w:trPr>
        <w:tc>
          <w:tcPr>
            <w:tcW w:w="1666" w:type="pct"/>
            <w:tcBorders>
              <w:bottom w:val="single" w:sz="4" w:space="0" w:color="D9D9D9"/>
            </w:tcBorders>
            <w:shd w:val="clear" w:color="auto" w:fill="auto"/>
            <w:tcMar>
              <w:top w:w="120" w:type="dxa"/>
              <w:left w:w="120" w:type="dxa"/>
              <w:bottom w:w="120" w:type="dxa"/>
              <w:right w:w="120" w:type="dxa"/>
            </w:tcMar>
            <w:vAlign w:val="center"/>
          </w:tcPr>
          <w:p w14:paraId="0CEC9A0F" w14:textId="2FB27FEA" w:rsidR="00F468C6" w:rsidRPr="00F468C6" w:rsidRDefault="00F468C6" w:rsidP="00F468C6">
            <w:pPr>
              <w:spacing w:after="40"/>
              <w:rPr>
                <w:sz w:val="18"/>
              </w:rPr>
            </w:pPr>
            <w:r w:rsidRPr="00F468C6">
              <w:rPr>
                <w:sz w:val="18"/>
              </w:rPr>
              <w:t>Bangladesh Bank</w:t>
            </w:r>
          </w:p>
        </w:tc>
        <w:tc>
          <w:tcPr>
            <w:tcW w:w="1666" w:type="pct"/>
            <w:tcBorders>
              <w:bottom w:val="single" w:sz="4" w:space="0" w:color="D9D9D9"/>
            </w:tcBorders>
            <w:shd w:val="clear" w:color="auto" w:fill="auto"/>
            <w:tcMar>
              <w:top w:w="120" w:type="dxa"/>
              <w:left w:w="120" w:type="dxa"/>
              <w:bottom w:w="120" w:type="dxa"/>
              <w:right w:w="120" w:type="dxa"/>
            </w:tcMar>
            <w:vAlign w:val="center"/>
          </w:tcPr>
          <w:p w14:paraId="6BDEF123" w14:textId="6DE1EF80" w:rsidR="00F468C6" w:rsidRPr="00F468C6" w:rsidRDefault="00F468C6" w:rsidP="00F468C6">
            <w:pPr>
              <w:spacing w:after="40"/>
              <w:rPr>
                <w:sz w:val="18"/>
              </w:rPr>
            </w:pPr>
            <w:r w:rsidRPr="00F468C6">
              <w:rPr>
                <w:sz w:val="18"/>
              </w:rPr>
              <w:t>Fraudulent payment instructions after a cyber intrusion</w:t>
            </w:r>
          </w:p>
        </w:tc>
        <w:tc>
          <w:tcPr>
            <w:tcW w:w="1667" w:type="pct"/>
            <w:tcBorders>
              <w:bottom w:val="single" w:sz="4" w:space="0" w:color="D9D9D9"/>
            </w:tcBorders>
            <w:shd w:val="clear" w:color="auto" w:fill="auto"/>
            <w:tcMar>
              <w:top w:w="120" w:type="dxa"/>
              <w:left w:w="120" w:type="dxa"/>
              <w:bottom w:w="120" w:type="dxa"/>
              <w:right w:w="120" w:type="dxa"/>
            </w:tcMar>
            <w:vAlign w:val="center"/>
          </w:tcPr>
          <w:p w14:paraId="62D5B4B0" w14:textId="0FADE3E2" w:rsidR="00F468C6" w:rsidRPr="00F468C6" w:rsidRDefault="00F468C6" w:rsidP="00F468C6">
            <w:pPr>
              <w:spacing w:after="40"/>
              <w:rPr>
                <w:sz w:val="18"/>
              </w:rPr>
            </w:pPr>
            <w:r w:rsidRPr="00F468C6">
              <w:rPr>
                <w:sz w:val="18"/>
              </w:rPr>
              <w:t>Transaction signals, escalation, and payment controls</w:t>
            </w:r>
          </w:p>
        </w:tc>
      </w:tr>
      <w:tr w:rsidR="00F468C6" w:rsidRPr="00F468C6" w14:paraId="7E9303CE" w14:textId="77777777" w:rsidTr="00F468C6">
        <w:tblPrEx>
          <w:tblCellMar>
            <w:top w:w="0" w:type="dxa"/>
            <w:bottom w:w="0" w:type="dxa"/>
          </w:tblCellMar>
        </w:tblPrEx>
        <w:trPr>
          <w:cantSplit/>
        </w:trPr>
        <w:tc>
          <w:tcPr>
            <w:tcW w:w="1666" w:type="pct"/>
            <w:shd w:val="clear" w:color="auto" w:fill="F6F7FA"/>
            <w:tcMar>
              <w:top w:w="120" w:type="dxa"/>
              <w:left w:w="120" w:type="dxa"/>
              <w:bottom w:w="120" w:type="dxa"/>
              <w:right w:w="120" w:type="dxa"/>
            </w:tcMar>
            <w:vAlign w:val="center"/>
          </w:tcPr>
          <w:p w14:paraId="7951CD26" w14:textId="1D0C1B9D" w:rsidR="00F468C6" w:rsidRPr="00F468C6" w:rsidRDefault="00F468C6" w:rsidP="00F468C6">
            <w:pPr>
              <w:spacing w:after="40"/>
              <w:rPr>
                <w:sz w:val="18"/>
              </w:rPr>
            </w:pPr>
            <w:r w:rsidRPr="00F468C6">
              <w:rPr>
                <w:sz w:val="18"/>
              </w:rPr>
              <w:t>Capital One</w:t>
            </w:r>
          </w:p>
        </w:tc>
        <w:tc>
          <w:tcPr>
            <w:tcW w:w="1666" w:type="pct"/>
            <w:shd w:val="clear" w:color="auto" w:fill="F6F7FA"/>
            <w:tcMar>
              <w:top w:w="120" w:type="dxa"/>
              <w:left w:w="120" w:type="dxa"/>
              <w:bottom w:w="120" w:type="dxa"/>
              <w:right w:w="120" w:type="dxa"/>
            </w:tcMar>
            <w:vAlign w:val="center"/>
          </w:tcPr>
          <w:p w14:paraId="52381A39" w14:textId="748C0696" w:rsidR="00F468C6" w:rsidRPr="00F468C6" w:rsidRDefault="00F468C6" w:rsidP="00F468C6">
            <w:pPr>
              <w:spacing w:after="40"/>
              <w:rPr>
                <w:sz w:val="18"/>
              </w:rPr>
            </w:pPr>
            <w:r w:rsidRPr="00F468C6">
              <w:rPr>
                <w:sz w:val="18"/>
              </w:rPr>
              <w:t>Technology and cloud risk management</w:t>
            </w:r>
          </w:p>
        </w:tc>
        <w:tc>
          <w:tcPr>
            <w:tcW w:w="1667" w:type="pct"/>
            <w:shd w:val="clear" w:color="auto" w:fill="F6F7FA"/>
            <w:tcMar>
              <w:top w:w="120" w:type="dxa"/>
              <w:left w:w="120" w:type="dxa"/>
              <w:bottom w:w="120" w:type="dxa"/>
              <w:right w:w="120" w:type="dxa"/>
            </w:tcMar>
            <w:vAlign w:val="center"/>
          </w:tcPr>
          <w:p w14:paraId="4D52DA71" w14:textId="3AE59D4E" w:rsidR="00F468C6" w:rsidRPr="00F468C6" w:rsidRDefault="00F468C6" w:rsidP="00F468C6">
            <w:pPr>
              <w:spacing w:after="40"/>
              <w:rPr>
                <w:sz w:val="18"/>
              </w:rPr>
            </w:pPr>
            <w:r w:rsidRPr="00F468C6">
              <w:rPr>
                <w:sz w:val="18"/>
              </w:rPr>
              <w:t>Secure architecture, monitoring, and remediation</w:t>
            </w:r>
          </w:p>
        </w:tc>
      </w:tr>
      <w:tr w:rsidR="00F468C6" w:rsidRPr="00F468C6" w14:paraId="4ACF65A4" w14:textId="77777777" w:rsidTr="00F468C6">
        <w:tblPrEx>
          <w:tblCellMar>
            <w:top w:w="0" w:type="dxa"/>
            <w:bottom w:w="0" w:type="dxa"/>
          </w:tblCellMar>
        </w:tblPrEx>
        <w:trPr>
          <w:cantSplit/>
        </w:trPr>
        <w:tc>
          <w:tcPr>
            <w:tcW w:w="1666" w:type="pct"/>
            <w:shd w:val="clear" w:color="auto" w:fill="auto"/>
            <w:tcMar>
              <w:top w:w="120" w:type="dxa"/>
              <w:left w:w="120" w:type="dxa"/>
              <w:bottom w:w="120" w:type="dxa"/>
              <w:right w:w="120" w:type="dxa"/>
            </w:tcMar>
            <w:vAlign w:val="center"/>
          </w:tcPr>
          <w:p w14:paraId="6905DF1C" w14:textId="15D09A12" w:rsidR="00F468C6" w:rsidRPr="00F468C6" w:rsidRDefault="00F468C6" w:rsidP="00F468C6">
            <w:pPr>
              <w:spacing w:after="40"/>
              <w:rPr>
                <w:sz w:val="18"/>
              </w:rPr>
            </w:pPr>
            <w:r w:rsidRPr="00F468C6">
              <w:rPr>
                <w:sz w:val="18"/>
              </w:rPr>
              <w:t>Paytm Payments Bank</w:t>
            </w:r>
          </w:p>
        </w:tc>
        <w:tc>
          <w:tcPr>
            <w:tcW w:w="1666" w:type="pct"/>
            <w:shd w:val="clear" w:color="auto" w:fill="auto"/>
            <w:tcMar>
              <w:top w:w="120" w:type="dxa"/>
              <w:left w:w="120" w:type="dxa"/>
              <w:bottom w:w="120" w:type="dxa"/>
              <w:right w:w="120" w:type="dxa"/>
            </w:tcMar>
            <w:vAlign w:val="center"/>
          </w:tcPr>
          <w:p w14:paraId="214D16F5" w14:textId="7EB36B1E" w:rsidR="00F468C6" w:rsidRPr="00F468C6" w:rsidRDefault="00F468C6" w:rsidP="00F468C6">
            <w:pPr>
              <w:spacing w:after="40"/>
              <w:rPr>
                <w:sz w:val="18"/>
              </w:rPr>
            </w:pPr>
            <w:r w:rsidRPr="00F468C6">
              <w:rPr>
                <w:sz w:val="18"/>
              </w:rPr>
              <w:t>Regulatory restrictions on payment operations</w:t>
            </w:r>
          </w:p>
        </w:tc>
        <w:tc>
          <w:tcPr>
            <w:tcW w:w="1667" w:type="pct"/>
            <w:shd w:val="clear" w:color="auto" w:fill="auto"/>
            <w:tcMar>
              <w:top w:w="120" w:type="dxa"/>
              <w:left w:w="120" w:type="dxa"/>
              <w:bottom w:w="120" w:type="dxa"/>
              <w:right w:w="120" w:type="dxa"/>
            </w:tcMar>
            <w:vAlign w:val="center"/>
          </w:tcPr>
          <w:p w14:paraId="25766A0E" w14:textId="44216226" w:rsidR="00F468C6" w:rsidRPr="00F468C6" w:rsidRDefault="00F468C6" w:rsidP="00F468C6">
            <w:pPr>
              <w:spacing w:after="40"/>
              <w:rPr>
                <w:sz w:val="18"/>
              </w:rPr>
            </w:pPr>
            <w:r w:rsidRPr="00F468C6">
              <w:rPr>
                <w:sz w:val="18"/>
              </w:rPr>
              <w:t>Rule enforcement, customer status, and auditability</w:t>
            </w:r>
          </w:p>
        </w:tc>
      </w:tr>
    </w:tbl>
    <w:p w14:paraId="74E6357D" w14:textId="2425B6F3" w:rsidR="00F468C6" w:rsidRDefault="00F468C6"/>
    <w:p w14:paraId="55E85620" w14:textId="77777777" w:rsidR="00F468C6" w:rsidRDefault="00F468C6">
      <w:pPr>
        <w:spacing w:after="100" w:line="257" w:lineRule="auto"/>
      </w:pPr>
      <w:r>
        <w:br w:type="page"/>
      </w:r>
    </w:p>
    <w:p w14:paraId="70C3D740" w14:textId="476675BE" w:rsidR="00F468C6" w:rsidRPr="00F468C6" w:rsidRDefault="00F468C6" w:rsidP="00F468C6">
      <w:pPr>
        <w:keepNext/>
        <w:spacing w:after="100"/>
      </w:pPr>
      <w:r w:rsidRPr="00F468C6">
        <w:rPr>
          <w:b/>
          <w:caps/>
          <w:color w:val="6557D9"/>
          <w:sz w:val="16"/>
        </w:rPr>
        <w:t>Production roadmap</w:t>
      </w:r>
    </w:p>
    <w:p w14:paraId="38198DEC" w14:textId="53DAE476" w:rsidR="00F468C6" w:rsidRPr="00F468C6" w:rsidRDefault="00F468C6" w:rsidP="00F468C6">
      <w:pPr>
        <w:pStyle w:val="Heading1"/>
        <w:spacing w:after="160"/>
      </w:pPr>
      <w:r>
        <w:t>What would be added for real-world use</w:t>
      </w:r>
    </w:p>
    <w:p w14:paraId="1C0701C0" w14:textId="2D424143" w:rsidR="00F468C6" w:rsidRPr="00F468C6" w:rsidRDefault="00F468C6" w:rsidP="00F468C6">
      <w:pPr>
        <w:spacing w:after="160"/>
      </w:pPr>
      <w:r>
        <w:t>The next version should keep the current interface but replace synthetic browser data with controlled services and persistent records.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192"/>
        <w:gridCol w:w="3191"/>
        <w:gridCol w:w="3193"/>
      </w:tblGrid>
      <w:tr w:rsidR="00F468C6" w:rsidRPr="00F468C6" w14:paraId="3B4A45CB" w14:textId="77777777" w:rsidTr="00F468C6">
        <w:tblPrEx>
          <w:tblCellMar>
            <w:top w:w="0" w:type="dxa"/>
            <w:bottom w:w="0" w:type="dxa"/>
          </w:tblCellMar>
        </w:tblPrEx>
        <w:trPr>
          <w:cantSplit/>
        </w:trPr>
        <w:tc>
          <w:tcPr>
            <w:tcW w:w="1666" w:type="pct"/>
            <w:shd w:val="clear" w:color="auto" w:fill="222844"/>
            <w:tcMar>
              <w:top w:w="120" w:type="dxa"/>
              <w:left w:w="120" w:type="dxa"/>
              <w:bottom w:w="120" w:type="dxa"/>
              <w:right w:w="120" w:type="dxa"/>
            </w:tcMar>
            <w:vAlign w:val="center"/>
          </w:tcPr>
          <w:p w14:paraId="5FA1FD8D" w14:textId="08F188D1" w:rsidR="00F468C6" w:rsidRPr="00F468C6" w:rsidRDefault="00F468C6" w:rsidP="00F468C6">
            <w:pPr>
              <w:spacing w:after="40"/>
              <w:rPr>
                <w:b/>
                <w:color w:val="FFFFFF"/>
                <w:sz w:val="18"/>
              </w:rPr>
            </w:pPr>
            <w:r w:rsidRPr="00F468C6">
              <w:rPr>
                <w:b/>
                <w:color w:val="FFFFFF"/>
                <w:sz w:val="18"/>
              </w:rPr>
              <w:t>Area</w:t>
            </w:r>
          </w:p>
        </w:tc>
        <w:tc>
          <w:tcPr>
            <w:tcW w:w="1666" w:type="pct"/>
            <w:shd w:val="clear" w:color="auto" w:fill="222844"/>
            <w:tcMar>
              <w:top w:w="120" w:type="dxa"/>
              <w:left w:w="120" w:type="dxa"/>
              <w:bottom w:w="120" w:type="dxa"/>
              <w:right w:w="120" w:type="dxa"/>
            </w:tcMar>
            <w:vAlign w:val="center"/>
          </w:tcPr>
          <w:p w14:paraId="6488FC7D" w14:textId="351A68C2" w:rsidR="00F468C6" w:rsidRPr="00F468C6" w:rsidRDefault="00F468C6" w:rsidP="00F468C6">
            <w:pPr>
              <w:spacing w:after="40"/>
              <w:rPr>
                <w:b/>
                <w:color w:val="FFFFFF"/>
                <w:sz w:val="18"/>
              </w:rPr>
            </w:pPr>
            <w:r w:rsidRPr="00F468C6">
              <w:rPr>
                <w:b/>
                <w:color w:val="FFFFFF"/>
                <w:sz w:val="18"/>
              </w:rPr>
              <w:t>Production addition</w:t>
            </w:r>
          </w:p>
        </w:tc>
        <w:tc>
          <w:tcPr>
            <w:tcW w:w="1667" w:type="pct"/>
            <w:shd w:val="clear" w:color="auto" w:fill="222844"/>
            <w:tcMar>
              <w:top w:w="120" w:type="dxa"/>
              <w:left w:w="120" w:type="dxa"/>
              <w:bottom w:w="120" w:type="dxa"/>
              <w:right w:w="120" w:type="dxa"/>
            </w:tcMar>
            <w:vAlign w:val="center"/>
          </w:tcPr>
          <w:p w14:paraId="764B2152" w14:textId="5131A21B" w:rsidR="00F468C6" w:rsidRPr="00F468C6" w:rsidRDefault="00F468C6" w:rsidP="00F468C6">
            <w:pPr>
              <w:spacing w:after="40"/>
              <w:rPr>
                <w:b/>
                <w:color w:val="FFFFFF"/>
                <w:sz w:val="18"/>
              </w:rPr>
            </w:pPr>
            <w:r w:rsidRPr="00F468C6">
              <w:rPr>
                <w:b/>
                <w:color w:val="FFFFFF"/>
                <w:sz w:val="18"/>
              </w:rPr>
              <w:t>Reason</w:t>
            </w:r>
          </w:p>
        </w:tc>
      </w:tr>
      <w:tr w:rsidR="00F468C6" w:rsidRPr="00F468C6" w14:paraId="3287505D" w14:textId="77777777" w:rsidTr="00F468C6">
        <w:tblPrEx>
          <w:tblCellMar>
            <w:top w:w="0" w:type="dxa"/>
            <w:bottom w:w="0" w:type="dxa"/>
          </w:tblCellMar>
        </w:tblPrEx>
        <w:trPr>
          <w:cantSplit/>
        </w:trPr>
        <w:tc>
          <w:tcPr>
            <w:tcW w:w="1666" w:type="pct"/>
            <w:tcBorders>
              <w:bottom w:val="single" w:sz="4" w:space="0" w:color="D9D9D9"/>
            </w:tcBorders>
            <w:shd w:val="clear" w:color="auto" w:fill="auto"/>
            <w:tcMar>
              <w:top w:w="120" w:type="dxa"/>
              <w:left w:w="120" w:type="dxa"/>
              <w:bottom w:w="120" w:type="dxa"/>
              <w:right w:w="120" w:type="dxa"/>
            </w:tcMar>
            <w:vAlign w:val="center"/>
          </w:tcPr>
          <w:p w14:paraId="2B645217" w14:textId="7824D885" w:rsidR="00F468C6" w:rsidRPr="00F468C6" w:rsidRDefault="00F468C6" w:rsidP="00F468C6">
            <w:pPr>
              <w:spacing w:after="40"/>
              <w:rPr>
                <w:sz w:val="18"/>
              </w:rPr>
            </w:pPr>
            <w:r w:rsidRPr="00F468C6">
              <w:rPr>
                <w:sz w:val="18"/>
              </w:rPr>
              <w:t>Identity</w:t>
            </w:r>
          </w:p>
        </w:tc>
        <w:tc>
          <w:tcPr>
            <w:tcW w:w="1666" w:type="pct"/>
            <w:tcBorders>
              <w:bottom w:val="single" w:sz="4" w:space="0" w:color="D9D9D9"/>
            </w:tcBorders>
            <w:shd w:val="clear" w:color="auto" w:fill="auto"/>
            <w:tcMar>
              <w:top w:w="120" w:type="dxa"/>
              <w:left w:w="120" w:type="dxa"/>
              <w:bottom w:w="120" w:type="dxa"/>
              <w:right w:w="120" w:type="dxa"/>
            </w:tcMar>
            <w:vAlign w:val="center"/>
          </w:tcPr>
          <w:p w14:paraId="42AE11EC" w14:textId="38936A0B" w:rsidR="00F468C6" w:rsidRPr="00F468C6" w:rsidRDefault="00F468C6" w:rsidP="00F468C6">
            <w:pPr>
              <w:spacing w:after="40"/>
              <w:rPr>
                <w:sz w:val="18"/>
              </w:rPr>
            </w:pPr>
            <w:r w:rsidRPr="00F468C6">
              <w:rPr>
                <w:sz w:val="18"/>
              </w:rPr>
              <w:t>Single sign-on, role-based access, and maker-checker approval</w:t>
            </w:r>
          </w:p>
        </w:tc>
        <w:tc>
          <w:tcPr>
            <w:tcW w:w="1667" w:type="pct"/>
            <w:tcBorders>
              <w:bottom w:val="single" w:sz="4" w:space="0" w:color="D9D9D9"/>
            </w:tcBorders>
            <w:shd w:val="clear" w:color="auto" w:fill="auto"/>
            <w:tcMar>
              <w:top w:w="120" w:type="dxa"/>
              <w:left w:w="120" w:type="dxa"/>
              <w:bottom w:w="120" w:type="dxa"/>
              <w:right w:w="120" w:type="dxa"/>
            </w:tcMar>
            <w:vAlign w:val="center"/>
          </w:tcPr>
          <w:p w14:paraId="2AF27536" w14:textId="0A57E810" w:rsidR="00F468C6" w:rsidRPr="00F468C6" w:rsidRDefault="00F468C6" w:rsidP="00F468C6">
            <w:pPr>
              <w:spacing w:after="40"/>
              <w:rPr>
                <w:sz w:val="18"/>
              </w:rPr>
            </w:pPr>
            <w:r w:rsidRPr="00F468C6">
              <w:rPr>
                <w:sz w:val="18"/>
              </w:rPr>
              <w:t>Limits access and separates sensitive decisions</w:t>
            </w:r>
          </w:p>
        </w:tc>
      </w:tr>
      <w:tr w:rsidR="00F468C6" w:rsidRPr="00F468C6" w14:paraId="19370A54" w14:textId="77777777" w:rsidTr="00F468C6">
        <w:tblPrEx>
          <w:tblCellMar>
            <w:top w:w="0" w:type="dxa"/>
            <w:bottom w:w="0" w:type="dxa"/>
          </w:tblCellMar>
        </w:tblPrEx>
        <w:trPr>
          <w:cantSplit/>
        </w:trPr>
        <w:tc>
          <w:tcPr>
            <w:tcW w:w="1666" w:type="pct"/>
            <w:shd w:val="clear" w:color="auto" w:fill="F6F7FA"/>
            <w:tcMar>
              <w:top w:w="120" w:type="dxa"/>
              <w:left w:w="120" w:type="dxa"/>
              <w:bottom w:w="120" w:type="dxa"/>
              <w:right w:w="120" w:type="dxa"/>
            </w:tcMar>
            <w:vAlign w:val="center"/>
          </w:tcPr>
          <w:p w14:paraId="0C22DF06" w14:textId="696E6CE6" w:rsidR="00F468C6" w:rsidRPr="00F468C6" w:rsidRDefault="00F468C6" w:rsidP="00F468C6">
            <w:pPr>
              <w:spacing w:after="40"/>
              <w:rPr>
                <w:sz w:val="18"/>
              </w:rPr>
            </w:pPr>
            <w:r w:rsidRPr="00F468C6">
              <w:rPr>
                <w:sz w:val="18"/>
              </w:rPr>
              <w:t>Data</w:t>
            </w:r>
          </w:p>
        </w:tc>
        <w:tc>
          <w:tcPr>
            <w:tcW w:w="1666" w:type="pct"/>
            <w:shd w:val="clear" w:color="auto" w:fill="F6F7FA"/>
            <w:tcMar>
              <w:top w:w="120" w:type="dxa"/>
              <w:left w:w="120" w:type="dxa"/>
              <w:bottom w:w="120" w:type="dxa"/>
              <w:right w:w="120" w:type="dxa"/>
            </w:tcMar>
            <w:vAlign w:val="center"/>
          </w:tcPr>
          <w:p w14:paraId="30D2977D" w14:textId="4C54B182" w:rsidR="00F468C6" w:rsidRPr="00F468C6" w:rsidRDefault="00F468C6" w:rsidP="00F468C6">
            <w:pPr>
              <w:spacing w:after="40"/>
              <w:rPr>
                <w:sz w:val="18"/>
              </w:rPr>
            </w:pPr>
            <w:r w:rsidRPr="00F468C6">
              <w:rPr>
                <w:sz w:val="18"/>
              </w:rPr>
              <w:t>Encrypted customer and transaction storage</w:t>
            </w:r>
          </w:p>
        </w:tc>
        <w:tc>
          <w:tcPr>
            <w:tcW w:w="1667" w:type="pct"/>
            <w:shd w:val="clear" w:color="auto" w:fill="F6F7FA"/>
            <w:tcMar>
              <w:top w:w="120" w:type="dxa"/>
              <w:left w:w="120" w:type="dxa"/>
              <w:bottom w:w="120" w:type="dxa"/>
              <w:right w:w="120" w:type="dxa"/>
            </w:tcMar>
            <w:vAlign w:val="center"/>
          </w:tcPr>
          <w:p w14:paraId="1A0A53A1" w14:textId="682AAF07" w:rsidR="00F468C6" w:rsidRPr="00F468C6" w:rsidRDefault="00F468C6" w:rsidP="00F468C6">
            <w:pPr>
              <w:spacing w:after="40"/>
              <w:rPr>
                <w:sz w:val="18"/>
              </w:rPr>
            </w:pPr>
            <w:r w:rsidRPr="00F468C6">
              <w:rPr>
                <w:sz w:val="18"/>
              </w:rPr>
              <w:t>Protects personal and financial information</w:t>
            </w:r>
          </w:p>
        </w:tc>
      </w:tr>
      <w:tr w:rsidR="00F468C6" w:rsidRPr="00F468C6" w14:paraId="2662C9BD" w14:textId="77777777" w:rsidTr="00F468C6">
        <w:tblPrEx>
          <w:tblCellMar>
            <w:top w:w="0" w:type="dxa"/>
            <w:bottom w:w="0" w:type="dxa"/>
          </w:tblCellMar>
        </w:tblPrEx>
        <w:trPr>
          <w:cantSplit/>
        </w:trPr>
        <w:tc>
          <w:tcPr>
            <w:tcW w:w="1666" w:type="pct"/>
            <w:tcBorders>
              <w:bottom w:val="single" w:sz="4" w:space="0" w:color="D9D9D9"/>
            </w:tcBorders>
            <w:shd w:val="clear" w:color="auto" w:fill="auto"/>
            <w:tcMar>
              <w:top w:w="120" w:type="dxa"/>
              <w:left w:w="120" w:type="dxa"/>
              <w:bottom w:w="120" w:type="dxa"/>
              <w:right w:w="120" w:type="dxa"/>
            </w:tcMar>
            <w:vAlign w:val="center"/>
          </w:tcPr>
          <w:p w14:paraId="6F93ECE3" w14:textId="48898179" w:rsidR="00F468C6" w:rsidRPr="00F468C6" w:rsidRDefault="00F468C6" w:rsidP="00F468C6">
            <w:pPr>
              <w:spacing w:after="40"/>
              <w:rPr>
                <w:sz w:val="18"/>
              </w:rPr>
            </w:pPr>
            <w:r w:rsidRPr="00F468C6">
              <w:rPr>
                <w:sz w:val="18"/>
              </w:rPr>
              <w:t>Integration</w:t>
            </w:r>
          </w:p>
        </w:tc>
        <w:tc>
          <w:tcPr>
            <w:tcW w:w="1666" w:type="pct"/>
            <w:tcBorders>
              <w:bottom w:val="single" w:sz="4" w:space="0" w:color="D9D9D9"/>
            </w:tcBorders>
            <w:shd w:val="clear" w:color="auto" w:fill="auto"/>
            <w:tcMar>
              <w:top w:w="120" w:type="dxa"/>
              <w:left w:w="120" w:type="dxa"/>
              <w:bottom w:w="120" w:type="dxa"/>
              <w:right w:w="120" w:type="dxa"/>
            </w:tcMar>
            <w:vAlign w:val="center"/>
          </w:tcPr>
          <w:p w14:paraId="18F3BF65" w14:textId="5E38E84E" w:rsidR="00F468C6" w:rsidRPr="00F468C6" w:rsidRDefault="00F468C6" w:rsidP="00F468C6">
            <w:pPr>
              <w:spacing w:after="40"/>
              <w:rPr>
                <w:sz w:val="18"/>
              </w:rPr>
            </w:pPr>
            <w:r w:rsidRPr="00F468C6">
              <w:rPr>
                <w:sz w:val="18"/>
              </w:rPr>
              <w:t>Event streaming and payment APIs</w:t>
            </w:r>
          </w:p>
        </w:tc>
        <w:tc>
          <w:tcPr>
            <w:tcW w:w="1667" w:type="pct"/>
            <w:tcBorders>
              <w:bottom w:val="single" w:sz="4" w:space="0" w:color="D9D9D9"/>
            </w:tcBorders>
            <w:shd w:val="clear" w:color="auto" w:fill="auto"/>
            <w:tcMar>
              <w:top w:w="120" w:type="dxa"/>
              <w:left w:w="120" w:type="dxa"/>
              <w:bottom w:w="120" w:type="dxa"/>
              <w:right w:w="120" w:type="dxa"/>
            </w:tcMar>
            <w:vAlign w:val="center"/>
          </w:tcPr>
          <w:p w14:paraId="5A025424" w14:textId="4834E103" w:rsidR="00F468C6" w:rsidRPr="00F468C6" w:rsidRDefault="00F468C6" w:rsidP="00F468C6">
            <w:pPr>
              <w:spacing w:after="40"/>
              <w:rPr>
                <w:sz w:val="18"/>
              </w:rPr>
            </w:pPr>
            <w:r w:rsidRPr="00F468C6">
              <w:rPr>
                <w:sz w:val="18"/>
              </w:rPr>
              <w:t>Receives transactions reliably and quickly</w:t>
            </w:r>
          </w:p>
        </w:tc>
      </w:tr>
      <w:tr w:rsidR="00F468C6" w:rsidRPr="00F468C6" w14:paraId="696E8C21" w14:textId="77777777" w:rsidTr="00F468C6">
        <w:tblPrEx>
          <w:tblCellMar>
            <w:top w:w="0" w:type="dxa"/>
            <w:bottom w:w="0" w:type="dxa"/>
          </w:tblCellMar>
        </w:tblPrEx>
        <w:trPr>
          <w:cantSplit/>
        </w:trPr>
        <w:tc>
          <w:tcPr>
            <w:tcW w:w="1666" w:type="pct"/>
            <w:shd w:val="clear" w:color="auto" w:fill="F6F7FA"/>
            <w:tcMar>
              <w:top w:w="120" w:type="dxa"/>
              <w:left w:w="120" w:type="dxa"/>
              <w:bottom w:w="120" w:type="dxa"/>
              <w:right w:w="120" w:type="dxa"/>
            </w:tcMar>
            <w:vAlign w:val="center"/>
          </w:tcPr>
          <w:p w14:paraId="36E21746" w14:textId="2FA9006A" w:rsidR="00F468C6" w:rsidRPr="00F468C6" w:rsidRDefault="00F468C6" w:rsidP="00F468C6">
            <w:pPr>
              <w:spacing w:after="40"/>
              <w:rPr>
                <w:sz w:val="18"/>
              </w:rPr>
            </w:pPr>
            <w:r w:rsidRPr="00F468C6">
              <w:rPr>
                <w:sz w:val="18"/>
              </w:rPr>
              <w:t>Detection</w:t>
            </w:r>
          </w:p>
        </w:tc>
        <w:tc>
          <w:tcPr>
            <w:tcW w:w="1666" w:type="pct"/>
            <w:shd w:val="clear" w:color="auto" w:fill="F6F7FA"/>
            <w:tcMar>
              <w:top w:w="120" w:type="dxa"/>
              <w:left w:w="120" w:type="dxa"/>
              <w:bottom w:w="120" w:type="dxa"/>
              <w:right w:w="120" w:type="dxa"/>
            </w:tcMar>
            <w:vAlign w:val="center"/>
          </w:tcPr>
          <w:p w14:paraId="1AA3BA70" w14:textId="0181B190" w:rsidR="00F468C6" w:rsidRPr="00F468C6" w:rsidRDefault="00F468C6" w:rsidP="00F468C6">
            <w:pPr>
              <w:spacing w:after="40"/>
              <w:rPr>
                <w:sz w:val="18"/>
              </w:rPr>
            </w:pPr>
            <w:r w:rsidRPr="00F468C6">
              <w:rPr>
                <w:sz w:val="18"/>
              </w:rPr>
              <w:t>Versioned rules and model-serving APIs</w:t>
            </w:r>
          </w:p>
        </w:tc>
        <w:tc>
          <w:tcPr>
            <w:tcW w:w="1667" w:type="pct"/>
            <w:shd w:val="clear" w:color="auto" w:fill="F6F7FA"/>
            <w:tcMar>
              <w:top w:w="120" w:type="dxa"/>
              <w:left w:w="120" w:type="dxa"/>
              <w:bottom w:w="120" w:type="dxa"/>
              <w:right w:w="120" w:type="dxa"/>
            </w:tcMar>
            <w:vAlign w:val="center"/>
          </w:tcPr>
          <w:p w14:paraId="163424A5" w14:textId="678586A0" w:rsidR="00F468C6" w:rsidRPr="00F468C6" w:rsidRDefault="00F468C6" w:rsidP="00F468C6">
            <w:pPr>
              <w:spacing w:after="40"/>
              <w:rPr>
                <w:sz w:val="18"/>
              </w:rPr>
            </w:pPr>
            <w:r w:rsidRPr="00F468C6">
              <w:rPr>
                <w:sz w:val="18"/>
              </w:rPr>
              <w:t>Makes scores repeatable and governable</w:t>
            </w:r>
          </w:p>
        </w:tc>
      </w:tr>
      <w:tr w:rsidR="00F468C6" w:rsidRPr="00F468C6" w14:paraId="485651E5" w14:textId="77777777" w:rsidTr="00F468C6">
        <w:tblPrEx>
          <w:tblCellMar>
            <w:top w:w="0" w:type="dxa"/>
            <w:bottom w:w="0" w:type="dxa"/>
          </w:tblCellMar>
        </w:tblPrEx>
        <w:trPr>
          <w:cantSplit/>
        </w:trPr>
        <w:tc>
          <w:tcPr>
            <w:tcW w:w="1666" w:type="pct"/>
            <w:tcBorders>
              <w:bottom w:val="single" w:sz="4" w:space="0" w:color="D9D9D9"/>
            </w:tcBorders>
            <w:shd w:val="clear" w:color="auto" w:fill="auto"/>
            <w:tcMar>
              <w:top w:w="120" w:type="dxa"/>
              <w:left w:w="120" w:type="dxa"/>
              <w:bottom w:w="120" w:type="dxa"/>
              <w:right w:w="120" w:type="dxa"/>
            </w:tcMar>
            <w:vAlign w:val="center"/>
          </w:tcPr>
          <w:p w14:paraId="5102C50C" w14:textId="088A9381" w:rsidR="00F468C6" w:rsidRPr="00F468C6" w:rsidRDefault="00F468C6" w:rsidP="00F468C6">
            <w:pPr>
              <w:spacing w:after="40"/>
              <w:rPr>
                <w:sz w:val="18"/>
              </w:rPr>
            </w:pPr>
            <w:r w:rsidRPr="00F468C6">
              <w:rPr>
                <w:sz w:val="18"/>
              </w:rPr>
              <w:t>Cases</w:t>
            </w:r>
          </w:p>
        </w:tc>
        <w:tc>
          <w:tcPr>
            <w:tcW w:w="1666" w:type="pct"/>
            <w:tcBorders>
              <w:bottom w:val="single" w:sz="4" w:space="0" w:color="D9D9D9"/>
            </w:tcBorders>
            <w:shd w:val="clear" w:color="auto" w:fill="auto"/>
            <w:tcMar>
              <w:top w:w="120" w:type="dxa"/>
              <w:left w:w="120" w:type="dxa"/>
              <w:bottom w:w="120" w:type="dxa"/>
              <w:right w:w="120" w:type="dxa"/>
            </w:tcMar>
            <w:vAlign w:val="center"/>
          </w:tcPr>
          <w:p w14:paraId="724E4F3F" w14:textId="47495F9B" w:rsidR="00F468C6" w:rsidRPr="00F468C6" w:rsidRDefault="00F468C6" w:rsidP="00F468C6">
            <w:pPr>
              <w:spacing w:after="40"/>
              <w:rPr>
                <w:sz w:val="18"/>
              </w:rPr>
            </w:pPr>
            <w:r w:rsidRPr="00F468C6">
              <w:rPr>
                <w:sz w:val="18"/>
              </w:rPr>
              <w:t>Database-backed notes, evidence, ownership, and status</w:t>
            </w:r>
          </w:p>
        </w:tc>
        <w:tc>
          <w:tcPr>
            <w:tcW w:w="1667" w:type="pct"/>
            <w:tcBorders>
              <w:bottom w:val="single" w:sz="4" w:space="0" w:color="D9D9D9"/>
            </w:tcBorders>
            <w:shd w:val="clear" w:color="auto" w:fill="auto"/>
            <w:tcMar>
              <w:top w:w="120" w:type="dxa"/>
              <w:left w:w="120" w:type="dxa"/>
              <w:bottom w:w="120" w:type="dxa"/>
              <w:right w:w="120" w:type="dxa"/>
            </w:tcMar>
            <w:vAlign w:val="center"/>
          </w:tcPr>
          <w:p w14:paraId="414327B0" w14:textId="64E5896F" w:rsidR="00F468C6" w:rsidRPr="00F468C6" w:rsidRDefault="00F468C6" w:rsidP="00F468C6">
            <w:pPr>
              <w:spacing w:after="40"/>
              <w:rPr>
                <w:sz w:val="18"/>
              </w:rPr>
            </w:pPr>
            <w:r w:rsidRPr="00F468C6">
              <w:rPr>
                <w:sz w:val="18"/>
              </w:rPr>
              <w:t>Supports investigation from alert to closure</w:t>
            </w:r>
          </w:p>
        </w:tc>
      </w:tr>
      <w:tr w:rsidR="00F468C6" w:rsidRPr="00F468C6" w14:paraId="0F74A52E" w14:textId="77777777" w:rsidTr="00F468C6">
        <w:tblPrEx>
          <w:tblCellMar>
            <w:top w:w="0" w:type="dxa"/>
            <w:bottom w:w="0" w:type="dxa"/>
          </w:tblCellMar>
        </w:tblPrEx>
        <w:trPr>
          <w:cantSplit/>
        </w:trPr>
        <w:tc>
          <w:tcPr>
            <w:tcW w:w="1666" w:type="pct"/>
            <w:shd w:val="clear" w:color="auto" w:fill="F6F7FA"/>
            <w:tcMar>
              <w:top w:w="120" w:type="dxa"/>
              <w:left w:w="120" w:type="dxa"/>
              <w:bottom w:w="120" w:type="dxa"/>
              <w:right w:w="120" w:type="dxa"/>
            </w:tcMar>
            <w:vAlign w:val="center"/>
          </w:tcPr>
          <w:p w14:paraId="3290988E" w14:textId="54D65624" w:rsidR="00F468C6" w:rsidRPr="00F468C6" w:rsidRDefault="00F468C6" w:rsidP="00F468C6">
            <w:pPr>
              <w:spacing w:after="40"/>
              <w:rPr>
                <w:sz w:val="18"/>
              </w:rPr>
            </w:pPr>
            <w:r w:rsidRPr="00F468C6">
              <w:rPr>
                <w:sz w:val="18"/>
              </w:rPr>
              <w:t>Audit</w:t>
            </w:r>
          </w:p>
        </w:tc>
        <w:tc>
          <w:tcPr>
            <w:tcW w:w="1666" w:type="pct"/>
            <w:shd w:val="clear" w:color="auto" w:fill="F6F7FA"/>
            <w:tcMar>
              <w:top w:w="120" w:type="dxa"/>
              <w:left w:w="120" w:type="dxa"/>
              <w:bottom w:w="120" w:type="dxa"/>
              <w:right w:w="120" w:type="dxa"/>
            </w:tcMar>
            <w:vAlign w:val="center"/>
          </w:tcPr>
          <w:p w14:paraId="70395BAC" w14:textId="3DB395B8" w:rsidR="00F468C6" w:rsidRPr="00F468C6" w:rsidRDefault="00F468C6" w:rsidP="00F468C6">
            <w:pPr>
              <w:spacing w:after="40"/>
              <w:rPr>
                <w:sz w:val="18"/>
              </w:rPr>
            </w:pPr>
            <w:r w:rsidRPr="00F468C6">
              <w:rPr>
                <w:sz w:val="18"/>
              </w:rPr>
              <w:t>Append-only decision and configuration records</w:t>
            </w:r>
          </w:p>
        </w:tc>
        <w:tc>
          <w:tcPr>
            <w:tcW w:w="1667" w:type="pct"/>
            <w:shd w:val="clear" w:color="auto" w:fill="F6F7FA"/>
            <w:tcMar>
              <w:top w:w="120" w:type="dxa"/>
              <w:left w:w="120" w:type="dxa"/>
              <w:bottom w:w="120" w:type="dxa"/>
              <w:right w:w="120" w:type="dxa"/>
            </w:tcMar>
            <w:vAlign w:val="center"/>
          </w:tcPr>
          <w:p w14:paraId="637EB863" w14:textId="2D838A3D" w:rsidR="00F468C6" w:rsidRPr="00F468C6" w:rsidRDefault="00F468C6" w:rsidP="00F468C6">
            <w:pPr>
              <w:spacing w:after="40"/>
              <w:rPr>
                <w:sz w:val="18"/>
              </w:rPr>
            </w:pPr>
            <w:r w:rsidRPr="00F468C6">
              <w:rPr>
                <w:sz w:val="18"/>
              </w:rPr>
              <w:t>Preserves who changed or decided what and when</w:t>
            </w:r>
          </w:p>
        </w:tc>
      </w:tr>
    </w:tbl>
    <w:p w14:paraId="0C5829A4" w14:textId="77777777" w:rsidR="00F468C6" w:rsidRPr="00F468C6" w:rsidRDefault="00F468C6" w:rsidP="00F468C6">
      <w:pPr>
        <w:spacing w:after="40"/>
      </w:pPr>
    </w:p>
    <w:p w14:paraId="01A2F74F" w14:textId="55C4A9C8" w:rsidR="00F468C6" w:rsidRPr="00F468C6" w:rsidRDefault="00F468C6" w:rsidP="00F468C6">
      <w:pPr>
        <w:pStyle w:val="Heading2"/>
        <w:spacing w:after="100"/>
      </w:pPr>
      <w:r>
        <w:t>Good portfolio extensions</w:t>
      </w:r>
    </w:p>
    <w:p w14:paraId="7B35B098" w14:textId="065A95B3" w:rsidR="00F468C6" w:rsidRPr="00F468C6" w:rsidRDefault="00F468C6" w:rsidP="00F468C6">
      <w:pPr>
        <w:pStyle w:val="ListParagraph"/>
        <w:numPr>
          <w:ilvl w:val="0"/>
          <w:numId w:val="4"/>
        </w:numPr>
        <w:spacing w:after="80"/>
        <w:ind w:left="360" w:hanging="180"/>
      </w:pPr>
      <w:r>
        <w:t>Build a small API that returns transactions and accepts case decisions.</w:t>
      </w:r>
    </w:p>
    <w:p w14:paraId="783AE470" w14:textId="78460D7C" w:rsidR="00F468C6" w:rsidRPr="00F468C6" w:rsidRDefault="00F468C6" w:rsidP="00F468C6">
      <w:pPr>
        <w:pStyle w:val="ListParagraph"/>
        <w:numPr>
          <w:ilvl w:val="0"/>
          <w:numId w:val="4"/>
        </w:numPr>
        <w:spacing w:after="80"/>
        <w:ind w:left="360" w:hanging="180"/>
      </w:pPr>
      <w:r>
        <w:t>Add login roles for analysts, managers, and auditors.</w:t>
      </w:r>
    </w:p>
    <w:p w14:paraId="7EF78213" w14:textId="7F64F0FE" w:rsidR="00F468C6" w:rsidRPr="00F468C6" w:rsidRDefault="00F468C6" w:rsidP="00F468C6">
      <w:pPr>
        <w:pStyle w:val="ListParagraph"/>
        <w:numPr>
          <w:ilvl w:val="0"/>
          <w:numId w:val="4"/>
        </w:numPr>
        <w:spacing w:after="80"/>
        <w:ind w:left="360" w:hanging="180"/>
      </w:pPr>
      <w:r>
        <w:t>Store cases in PostgreSQL and expose an immutable audit endpoint.</w:t>
      </w:r>
    </w:p>
    <w:p w14:paraId="3290FDCA" w14:textId="5AB24818" w:rsidR="00F468C6" w:rsidRPr="00F468C6" w:rsidRDefault="00F468C6" w:rsidP="00F468C6">
      <w:pPr>
        <w:pStyle w:val="ListParagraph"/>
        <w:numPr>
          <w:ilvl w:val="0"/>
          <w:numId w:val="4"/>
        </w:numPr>
        <w:spacing w:after="80"/>
        <w:ind w:left="360" w:hanging="180"/>
      </w:pPr>
      <w:r>
        <w:t>Write automated tests for scoring rules and analyst permissions.</w:t>
      </w:r>
    </w:p>
    <w:p w14:paraId="76B3618D" w14:textId="419B60F0" w:rsidR="00F468C6" w:rsidRPr="00F468C6" w:rsidRDefault="00F468C6" w:rsidP="00F468C6">
      <w:pPr>
        <w:pStyle w:val="ListParagraph"/>
        <w:numPr>
          <w:ilvl w:val="0"/>
          <w:numId w:val="4"/>
        </w:numPr>
        <w:spacing w:after="80"/>
        <w:ind w:left="360" w:hanging="180"/>
      </w:pPr>
      <w:r>
        <w:t>Add observability for event delay, scoring failures, and review backlog.</w:t>
      </w:r>
    </w:p>
    <w:p w14:paraId="21AE951E" w14:textId="1B4299AB" w:rsidR="00F468C6" w:rsidRDefault="00F468C6">
      <w:pPr>
        <w:spacing w:after="100" w:line="257" w:lineRule="auto"/>
      </w:pPr>
      <w:r>
        <w:br w:type="page"/>
      </w:r>
    </w:p>
    <w:p w14:paraId="650DF45C" w14:textId="15127E6D" w:rsidR="00F468C6" w:rsidRPr="00F468C6" w:rsidRDefault="00F468C6" w:rsidP="00F468C6">
      <w:pPr>
        <w:keepNext/>
        <w:spacing w:after="100"/>
      </w:pPr>
      <w:r w:rsidRPr="00F468C6">
        <w:rPr>
          <w:b/>
          <w:caps/>
          <w:color w:val="6557D9"/>
          <w:sz w:val="16"/>
        </w:rPr>
        <w:t>Reference guide</w:t>
      </w:r>
    </w:p>
    <w:p w14:paraId="1ACF12D7" w14:textId="1661E771" w:rsidR="00F468C6" w:rsidRPr="00F468C6" w:rsidRDefault="00F468C6" w:rsidP="00F468C6">
      <w:pPr>
        <w:pStyle w:val="Heading1"/>
        <w:spacing w:after="160"/>
      </w:pPr>
      <w:r>
        <w:t>Plain-language glossary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00"/>
        <w:gridCol w:w="7000"/>
      </w:tblGrid>
      <w:tr w:rsidR="00F468C6" w:rsidRPr="00F468C6" w14:paraId="653CEA19"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1E7ED930" w14:textId="346E7F32" w:rsidR="00F468C6" w:rsidRPr="00F468C6" w:rsidRDefault="00F468C6">
            <w:pPr>
              <w:rPr>
                <w:b/>
                <w:color w:val="6557D9"/>
                <w:sz w:val="19"/>
              </w:rPr>
            </w:pPr>
            <w:r w:rsidRPr="00F468C6">
              <w:rPr>
                <w:b/>
                <w:color w:val="6557D9"/>
                <w:sz w:val="19"/>
              </w:rPr>
              <w:t>AML</w:t>
            </w:r>
          </w:p>
        </w:tc>
        <w:tc>
          <w:tcPr>
            <w:tcW w:w="7000" w:type="dxa"/>
            <w:shd w:val="clear" w:color="auto" w:fill="auto"/>
            <w:tcMar>
              <w:top w:w="140" w:type="dxa"/>
              <w:left w:w="140" w:type="dxa"/>
              <w:bottom w:w="140" w:type="dxa"/>
              <w:right w:w="140" w:type="dxa"/>
            </w:tcMar>
            <w:vAlign w:val="center"/>
          </w:tcPr>
          <w:p w14:paraId="035EC1C9" w14:textId="0E12728A" w:rsidR="00F468C6" w:rsidRPr="00F468C6" w:rsidRDefault="00F468C6">
            <w:pPr>
              <w:rPr>
                <w:sz w:val="19"/>
              </w:rPr>
            </w:pPr>
            <w:r w:rsidRPr="00F468C6">
              <w:rPr>
                <w:sz w:val="19"/>
              </w:rPr>
              <w:t>Anti-money laundering processes that help institutions detect and report suspicious financial behavior.</w:t>
            </w:r>
          </w:p>
        </w:tc>
      </w:tr>
      <w:tr w:rsidR="00F468C6" w:rsidRPr="00F468C6" w14:paraId="57AF928E"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6CEDB61E" w14:textId="74C0D5A5" w:rsidR="00F468C6" w:rsidRPr="00F468C6" w:rsidRDefault="00F468C6">
            <w:pPr>
              <w:rPr>
                <w:b/>
                <w:color w:val="6557D9"/>
                <w:sz w:val="19"/>
              </w:rPr>
            </w:pPr>
            <w:r w:rsidRPr="00F468C6">
              <w:rPr>
                <w:b/>
                <w:color w:val="6557D9"/>
                <w:sz w:val="19"/>
              </w:rPr>
              <w:t>Audit trail</w:t>
            </w:r>
          </w:p>
        </w:tc>
        <w:tc>
          <w:tcPr>
            <w:tcW w:w="7000" w:type="dxa"/>
            <w:shd w:val="clear" w:color="auto" w:fill="auto"/>
            <w:tcMar>
              <w:top w:w="140" w:type="dxa"/>
              <w:left w:w="140" w:type="dxa"/>
              <w:bottom w:w="140" w:type="dxa"/>
              <w:right w:w="140" w:type="dxa"/>
            </w:tcMar>
            <w:vAlign w:val="center"/>
          </w:tcPr>
          <w:p w14:paraId="76709275" w14:textId="24D12004" w:rsidR="00F468C6" w:rsidRPr="00F468C6" w:rsidRDefault="00F468C6">
            <w:pPr>
              <w:rPr>
                <w:sz w:val="19"/>
              </w:rPr>
            </w:pPr>
            <w:r w:rsidRPr="00F468C6">
              <w:rPr>
                <w:sz w:val="19"/>
              </w:rPr>
              <w:t>A record of actions, including who acted, what changed, and when it happened.</w:t>
            </w:r>
          </w:p>
        </w:tc>
      </w:tr>
      <w:tr w:rsidR="00F468C6" w:rsidRPr="00F468C6" w14:paraId="06154AA0"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05963BC3" w14:textId="05C603B6" w:rsidR="00F468C6" w:rsidRPr="00F468C6" w:rsidRDefault="00F468C6">
            <w:pPr>
              <w:rPr>
                <w:b/>
                <w:color w:val="6557D9"/>
                <w:sz w:val="19"/>
              </w:rPr>
            </w:pPr>
            <w:r w:rsidRPr="00F468C6">
              <w:rPr>
                <w:b/>
                <w:color w:val="6557D9"/>
                <w:sz w:val="19"/>
              </w:rPr>
              <w:t>False positive</w:t>
            </w:r>
          </w:p>
        </w:tc>
        <w:tc>
          <w:tcPr>
            <w:tcW w:w="7000" w:type="dxa"/>
            <w:shd w:val="clear" w:color="auto" w:fill="auto"/>
            <w:tcMar>
              <w:top w:w="140" w:type="dxa"/>
              <w:left w:w="140" w:type="dxa"/>
              <w:bottom w:w="140" w:type="dxa"/>
              <w:right w:w="140" w:type="dxa"/>
            </w:tcMar>
            <w:vAlign w:val="center"/>
          </w:tcPr>
          <w:p w14:paraId="6F7F6A13" w14:textId="188910D2" w:rsidR="00F468C6" w:rsidRPr="00F468C6" w:rsidRDefault="00F468C6">
            <w:pPr>
              <w:rPr>
                <w:sz w:val="19"/>
              </w:rPr>
            </w:pPr>
            <w:r w:rsidRPr="00F468C6">
              <w:rPr>
                <w:sz w:val="19"/>
              </w:rPr>
              <w:t>A legitimate transaction that the system incorrectly flags as suspicious.</w:t>
            </w:r>
          </w:p>
        </w:tc>
      </w:tr>
      <w:tr w:rsidR="00F468C6" w:rsidRPr="00F468C6" w14:paraId="17B79890"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79DC8901" w14:textId="5D570880" w:rsidR="00F468C6" w:rsidRPr="00F468C6" w:rsidRDefault="00F468C6">
            <w:pPr>
              <w:rPr>
                <w:b/>
                <w:color w:val="6557D9"/>
                <w:sz w:val="19"/>
              </w:rPr>
            </w:pPr>
            <w:r w:rsidRPr="00F468C6">
              <w:rPr>
                <w:b/>
                <w:color w:val="6557D9"/>
                <w:sz w:val="19"/>
              </w:rPr>
              <w:t>KYC</w:t>
            </w:r>
          </w:p>
        </w:tc>
        <w:tc>
          <w:tcPr>
            <w:tcW w:w="7000" w:type="dxa"/>
            <w:shd w:val="clear" w:color="auto" w:fill="auto"/>
            <w:tcMar>
              <w:top w:w="140" w:type="dxa"/>
              <w:left w:w="140" w:type="dxa"/>
              <w:bottom w:w="140" w:type="dxa"/>
              <w:right w:w="140" w:type="dxa"/>
            </w:tcMar>
            <w:vAlign w:val="center"/>
          </w:tcPr>
          <w:p w14:paraId="1C80E400" w14:textId="6EEE09E3" w:rsidR="00F468C6" w:rsidRPr="00F468C6" w:rsidRDefault="00F468C6">
            <w:pPr>
              <w:rPr>
                <w:sz w:val="19"/>
              </w:rPr>
            </w:pPr>
            <w:r w:rsidRPr="00F468C6">
              <w:rPr>
                <w:sz w:val="19"/>
              </w:rPr>
              <w:t>Know Your Customer checks used to verify identity and understand customer risk.</w:t>
            </w:r>
          </w:p>
        </w:tc>
      </w:tr>
      <w:tr w:rsidR="00F468C6" w:rsidRPr="00F468C6" w14:paraId="001F9F4B"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79648781" w14:textId="3CFE3F2D" w:rsidR="00F468C6" w:rsidRPr="00F468C6" w:rsidRDefault="00F468C6">
            <w:pPr>
              <w:rPr>
                <w:b/>
                <w:color w:val="6557D9"/>
                <w:sz w:val="19"/>
              </w:rPr>
            </w:pPr>
            <w:r w:rsidRPr="00F468C6">
              <w:rPr>
                <w:b/>
                <w:color w:val="6557D9"/>
                <w:sz w:val="19"/>
              </w:rPr>
              <w:t>Precision</w:t>
            </w:r>
          </w:p>
        </w:tc>
        <w:tc>
          <w:tcPr>
            <w:tcW w:w="7000" w:type="dxa"/>
            <w:shd w:val="clear" w:color="auto" w:fill="auto"/>
            <w:tcMar>
              <w:top w:w="140" w:type="dxa"/>
              <w:left w:w="140" w:type="dxa"/>
              <w:bottom w:w="140" w:type="dxa"/>
              <w:right w:w="140" w:type="dxa"/>
            </w:tcMar>
            <w:vAlign w:val="center"/>
          </w:tcPr>
          <w:p w14:paraId="20AF4CBD" w14:textId="00CA88FA" w:rsidR="00F468C6" w:rsidRPr="00F468C6" w:rsidRDefault="00F468C6">
            <w:pPr>
              <w:rPr>
                <w:sz w:val="19"/>
              </w:rPr>
            </w:pPr>
            <w:r w:rsidRPr="00F468C6">
              <w:rPr>
                <w:sz w:val="19"/>
              </w:rPr>
              <w:t>The share of flagged transactions that were actually suspicious.</w:t>
            </w:r>
          </w:p>
        </w:tc>
      </w:tr>
      <w:tr w:rsidR="00F468C6" w:rsidRPr="00F468C6" w14:paraId="56FBE4F7"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582EAF4D" w14:textId="74F59A4F" w:rsidR="00F468C6" w:rsidRPr="00F468C6" w:rsidRDefault="00F468C6">
            <w:pPr>
              <w:rPr>
                <w:b/>
                <w:color w:val="6557D9"/>
                <w:sz w:val="19"/>
              </w:rPr>
            </w:pPr>
            <w:r w:rsidRPr="00F468C6">
              <w:rPr>
                <w:b/>
                <w:color w:val="6557D9"/>
                <w:sz w:val="19"/>
              </w:rPr>
              <w:t>Recall</w:t>
            </w:r>
          </w:p>
        </w:tc>
        <w:tc>
          <w:tcPr>
            <w:tcW w:w="7000" w:type="dxa"/>
            <w:shd w:val="clear" w:color="auto" w:fill="auto"/>
            <w:tcMar>
              <w:top w:w="140" w:type="dxa"/>
              <w:left w:w="140" w:type="dxa"/>
              <w:bottom w:w="140" w:type="dxa"/>
              <w:right w:w="140" w:type="dxa"/>
            </w:tcMar>
            <w:vAlign w:val="center"/>
          </w:tcPr>
          <w:p w14:paraId="1207F984" w14:textId="0D2DD173" w:rsidR="00F468C6" w:rsidRPr="00F468C6" w:rsidRDefault="00F468C6">
            <w:pPr>
              <w:rPr>
                <w:sz w:val="19"/>
              </w:rPr>
            </w:pPr>
            <w:r w:rsidRPr="00F468C6">
              <w:rPr>
                <w:sz w:val="19"/>
              </w:rPr>
              <w:t>The share of suspicious transactions that the system successfully detected.</w:t>
            </w:r>
          </w:p>
        </w:tc>
      </w:tr>
      <w:tr w:rsidR="00F468C6" w:rsidRPr="00F468C6" w14:paraId="36FCEEBA"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188BB16C" w14:textId="31C8D476" w:rsidR="00F468C6" w:rsidRPr="00F468C6" w:rsidRDefault="00F468C6">
            <w:pPr>
              <w:rPr>
                <w:b/>
                <w:color w:val="6557D9"/>
                <w:sz w:val="19"/>
              </w:rPr>
            </w:pPr>
            <w:r w:rsidRPr="00F468C6">
              <w:rPr>
                <w:b/>
                <w:color w:val="6557D9"/>
                <w:sz w:val="19"/>
              </w:rPr>
              <w:t>Risk score</w:t>
            </w:r>
          </w:p>
        </w:tc>
        <w:tc>
          <w:tcPr>
            <w:tcW w:w="7000" w:type="dxa"/>
            <w:shd w:val="clear" w:color="auto" w:fill="auto"/>
            <w:tcMar>
              <w:top w:w="140" w:type="dxa"/>
              <w:left w:w="140" w:type="dxa"/>
              <w:bottom w:w="140" w:type="dxa"/>
              <w:right w:w="140" w:type="dxa"/>
            </w:tcMar>
            <w:vAlign w:val="center"/>
          </w:tcPr>
          <w:p w14:paraId="42223FF8" w14:textId="008B88BD" w:rsidR="00F468C6" w:rsidRPr="00F468C6" w:rsidRDefault="00F468C6">
            <w:pPr>
              <w:rPr>
                <w:sz w:val="19"/>
              </w:rPr>
            </w:pPr>
            <w:r w:rsidRPr="00F468C6">
              <w:rPr>
                <w:sz w:val="19"/>
              </w:rPr>
              <w:t>A number that summarizes how unusual or risky a transaction appears.</w:t>
            </w:r>
          </w:p>
        </w:tc>
      </w:tr>
      <w:tr w:rsidR="00F468C6" w:rsidRPr="00F468C6" w14:paraId="5F860B5B" w14:textId="77777777" w:rsidTr="00F468C6">
        <w:tblPrEx>
          <w:tblCellMar>
            <w:top w:w="0" w:type="dxa"/>
            <w:bottom w:w="0" w:type="dxa"/>
          </w:tblCellMar>
        </w:tblPrEx>
        <w:trPr>
          <w:cantSplit/>
        </w:trPr>
        <w:tc>
          <w:tcPr>
            <w:tcW w:w="2400" w:type="dxa"/>
            <w:shd w:val="clear" w:color="auto" w:fill="auto"/>
            <w:tcMar>
              <w:top w:w="140" w:type="dxa"/>
              <w:left w:w="140" w:type="dxa"/>
              <w:bottom w:w="140" w:type="dxa"/>
              <w:right w:w="140" w:type="dxa"/>
            </w:tcMar>
            <w:vAlign w:val="center"/>
          </w:tcPr>
          <w:p w14:paraId="205F230C" w14:textId="04097449" w:rsidR="00F468C6" w:rsidRPr="00F468C6" w:rsidRDefault="00F468C6">
            <w:pPr>
              <w:rPr>
                <w:b/>
                <w:color w:val="6557D9"/>
                <w:sz w:val="19"/>
              </w:rPr>
            </w:pPr>
            <w:r w:rsidRPr="00F468C6">
              <w:rPr>
                <w:b/>
                <w:color w:val="6557D9"/>
                <w:sz w:val="19"/>
              </w:rPr>
              <w:t>Velocity</w:t>
            </w:r>
          </w:p>
        </w:tc>
        <w:tc>
          <w:tcPr>
            <w:tcW w:w="7000" w:type="dxa"/>
            <w:shd w:val="clear" w:color="auto" w:fill="auto"/>
            <w:tcMar>
              <w:top w:w="140" w:type="dxa"/>
              <w:left w:w="140" w:type="dxa"/>
              <w:bottom w:w="140" w:type="dxa"/>
              <w:right w:w="140" w:type="dxa"/>
            </w:tcMar>
            <w:vAlign w:val="center"/>
          </w:tcPr>
          <w:p w14:paraId="7CD05627" w14:textId="79BEBBC8" w:rsidR="00F468C6" w:rsidRPr="00F468C6" w:rsidRDefault="00F468C6">
            <w:pPr>
              <w:rPr>
                <w:sz w:val="19"/>
              </w:rPr>
            </w:pPr>
            <w:r w:rsidRPr="00F468C6">
              <w:rPr>
                <w:sz w:val="19"/>
              </w:rPr>
              <w:t>The number or value of transactions within a short period.</w:t>
            </w:r>
          </w:p>
        </w:tc>
      </w:tr>
    </w:tbl>
    <w:p w14:paraId="79C1AEF5" w14:textId="77777777" w:rsidR="00F468C6" w:rsidRPr="00F468C6" w:rsidRDefault="00F468C6" w:rsidP="00F468C6">
      <w:pPr>
        <w:spacing w:after="40"/>
      </w:pPr>
    </w:p>
    <w:p w14:paraId="436B792A" w14:textId="186B0547" w:rsidR="00F468C6" w:rsidRPr="00F468C6" w:rsidRDefault="00F468C6" w:rsidP="00F468C6">
      <w:pPr>
        <w:pStyle w:val="Heading1"/>
        <w:spacing w:after="160"/>
      </w:pPr>
      <w:r>
        <w:t>Sources for real cases</w:t>
      </w:r>
    </w:p>
    <w:p w14:paraId="594DCAD4" w14:textId="2406D3D8" w:rsidR="00F468C6" w:rsidRPr="00F468C6" w:rsidRDefault="00F468C6" w:rsidP="00F468C6">
      <w:pPr>
        <w:spacing w:after="40"/>
      </w:pPr>
      <w:r>
        <w:t>[1] United States Department of Justice. North Korean Regime-Backed Programmer Charged With Conspiracy to Conduct Multiple Cyber Attacks and Intrusions. 6 September 2018.</w:t>
      </w:r>
    </w:p>
    <w:p w14:paraId="56194F5F" w14:textId="528756BF" w:rsidR="00F468C6" w:rsidRPr="00F468C6" w:rsidRDefault="00F468C6" w:rsidP="00F468C6">
      <w:pPr>
        <w:rPr>
          <w:color w:val="6557D9"/>
          <w:sz w:val="16"/>
        </w:rPr>
      </w:pPr>
      <w:r w:rsidRPr="00F468C6">
        <w:rPr>
          <w:color w:val="6557D9"/>
          <w:sz w:val="16"/>
        </w:rPr>
        <w:t>https://www.justice.gov/archives/opa/pr/north-korean-regime-backed-programmer-charged-conspiracy-conduct-multiple-cyber-attacks-and</w:t>
      </w:r>
    </w:p>
    <w:p w14:paraId="6C77FF3A" w14:textId="5730E7A8" w:rsidR="00F468C6" w:rsidRPr="00F468C6" w:rsidRDefault="00F468C6" w:rsidP="00F468C6">
      <w:pPr>
        <w:spacing w:after="40"/>
      </w:pPr>
      <w:r>
        <w:t>[2] Office of the Comptroller of the Currency. OCC Assesses USD 80 Million Civil Money Penalty Against Capital One. 6 August 2020.</w:t>
      </w:r>
    </w:p>
    <w:p w14:paraId="009B0C3B" w14:textId="1F45B465" w:rsidR="00F468C6" w:rsidRPr="00F468C6" w:rsidRDefault="00F468C6" w:rsidP="00F468C6">
      <w:pPr>
        <w:rPr>
          <w:color w:val="6557D9"/>
          <w:sz w:val="16"/>
        </w:rPr>
      </w:pPr>
      <w:r w:rsidRPr="00F468C6">
        <w:rPr>
          <w:color w:val="6557D9"/>
          <w:sz w:val="16"/>
        </w:rPr>
        <w:t>https://www.occ.gov/news-issuances/news-releases/2020/nr-occ-2020-101.html</w:t>
      </w:r>
    </w:p>
    <w:p w14:paraId="094B0D31" w14:textId="53341E00" w:rsidR="00F468C6" w:rsidRPr="00F468C6" w:rsidRDefault="00F468C6" w:rsidP="00F468C6">
      <w:pPr>
        <w:spacing w:after="40"/>
      </w:pPr>
      <w:r>
        <w:t>[3] Reserve Bank of India. Action against Paytm Payments Bank Ltd under Section 35A of the Banking Regulation Act 1949. 16 February 2024.</w:t>
      </w:r>
    </w:p>
    <w:p w14:paraId="672D62CC" w14:textId="08D0C270" w:rsidR="00F468C6" w:rsidRPr="00F468C6" w:rsidRDefault="00F468C6" w:rsidP="00F468C6">
      <w:pPr>
        <w:spacing w:after="200"/>
        <w:rPr>
          <w:color w:val="6557D9"/>
          <w:sz w:val="16"/>
        </w:rPr>
      </w:pPr>
      <w:r w:rsidRPr="00F468C6">
        <w:rPr>
          <w:color w:val="6557D9"/>
          <w:sz w:val="16"/>
        </w:rPr>
        <w:t>https://www.rbi.org.in/Scripts/BS_PressReleaseDisplay.aspx?prid=57345</w:t>
      </w:r>
    </w:p>
    <w:p w14:paraId="07A96693" w14:textId="2100FE8F" w:rsidR="00F468C6" w:rsidRPr="00F468C6" w:rsidRDefault="00F468C6" w:rsidP="00F468C6">
      <w:pPr>
        <w:spacing w:after="0"/>
        <w:rPr>
          <w:i/>
          <w:color w:val="5C606F"/>
          <w:sz w:val="16"/>
        </w:rPr>
      </w:pPr>
      <w:r w:rsidRPr="00F468C6">
        <w:rPr>
          <w:i/>
          <w:color w:val="5C606F"/>
          <w:sz w:val="16"/>
        </w:rPr>
        <w:t>Sources accessed 6 October 2026. The case summaries are educational explanations based on the cited official releases.</w:t>
      </w:r>
    </w:p>
    <w:p w14:paraId="1F47CFF0" w14:textId="77777777" w:rsidR="00F468C6" w:rsidRDefault="00F468C6"/>
    <w:sectPr w:rsidR="00F468C6" w:rsidSect="00F468C6">
      <w:headerReference w:type="even" r:id="rId10"/>
      <w:headerReference w:type="default" r:id="rId11"/>
      <w:footerReference w:type="even" r:id="rId12"/>
      <w:footerReference w:type="default" r:id="rId13"/>
      <w:headerReference w:type="first" r:id="rId14"/>
      <w:footerReference w:type="first" r:id="rId15"/>
      <w:pgSz w:w="11906" w:h="16838"/>
      <w:pgMar w:top="1140" w:right="1160" w:bottom="1100" w:left="1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95F53" w14:textId="77777777" w:rsidR="00F468C6" w:rsidRDefault="00F468C6" w:rsidP="00F468C6">
      <w:pPr>
        <w:spacing w:after="0"/>
      </w:pPr>
      <w:r>
        <w:separator/>
      </w:r>
    </w:p>
  </w:endnote>
  <w:endnote w:type="continuationSeparator" w:id="0">
    <w:p w14:paraId="16EBA53F" w14:textId="77777777" w:rsidR="00F468C6" w:rsidRDefault="00F468C6" w:rsidP="00F468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86206" w14:textId="77777777" w:rsidR="00F468C6" w:rsidRDefault="00F468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52694" w14:textId="0D4FD6A4" w:rsidR="00F468C6" w:rsidRPr="00F468C6" w:rsidRDefault="00F468C6" w:rsidP="00F468C6">
    <w:pPr>
      <w:pStyle w:val="Footer"/>
    </w:pPr>
    <w:r>
      <w:rPr>
        <w:color w:val="5C606F"/>
        <w:sz w:val="16"/>
      </w:rPr>
      <w:fldChar w:fldCharType="begin"/>
    </w:r>
    <w:r>
      <w:rPr>
        <w:color w:val="5C606F"/>
        <w:sz w:val="16"/>
      </w:rPr>
      <w:instrText xml:space="preserve"> PAGE  \* MERGEFORMAT </w:instrText>
    </w:r>
    <w:r>
      <w:rPr>
        <w:color w:val="5C606F"/>
        <w:sz w:val="16"/>
      </w:rPr>
      <w:fldChar w:fldCharType="separate"/>
    </w:r>
    <w:r>
      <w:rPr>
        <w:noProof/>
        <w:color w:val="5C606F"/>
        <w:sz w:val="16"/>
      </w:rPr>
      <w:t>1</w:t>
    </w:r>
    <w:r>
      <w:rPr>
        <w:color w:val="5C60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71091" w14:textId="77777777" w:rsidR="00F468C6" w:rsidRDefault="00F468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B6AF8" w14:textId="77777777" w:rsidR="00F468C6" w:rsidRDefault="00F468C6" w:rsidP="00F468C6">
      <w:pPr>
        <w:spacing w:after="0"/>
      </w:pPr>
      <w:r>
        <w:separator/>
      </w:r>
    </w:p>
  </w:footnote>
  <w:footnote w:type="continuationSeparator" w:id="0">
    <w:p w14:paraId="0A6E42BA" w14:textId="77777777" w:rsidR="00F468C6" w:rsidRDefault="00F468C6" w:rsidP="00F468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A35E9" w14:textId="77777777" w:rsidR="00F468C6" w:rsidRDefault="00F468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AB215" w14:textId="77777777" w:rsidR="00F468C6" w:rsidRDefault="00F468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27534" w14:textId="77777777" w:rsidR="00F468C6" w:rsidRDefault="00F468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655EB"/>
    <w:multiLevelType w:val="singleLevel"/>
    <w:tmpl w:val="40090001"/>
    <w:lvl w:ilvl="0">
      <w:start w:val="1"/>
      <w:numFmt w:val="bullet"/>
      <w:lvlText w:val=""/>
      <w:lvlJc w:val="left"/>
      <w:pPr>
        <w:ind w:left="720" w:hanging="360"/>
      </w:pPr>
      <w:rPr>
        <w:rFonts w:ascii="Symbol" w:hAnsi="Symbol" w:hint="default"/>
      </w:rPr>
    </w:lvl>
  </w:abstractNum>
  <w:abstractNum w:abstractNumId="1" w15:restartNumberingAfterBreak="0">
    <w:nsid w:val="3FCD5464"/>
    <w:multiLevelType w:val="singleLevel"/>
    <w:tmpl w:val="40090001"/>
    <w:lvl w:ilvl="0">
      <w:start w:val="1"/>
      <w:numFmt w:val="bullet"/>
      <w:lvlText w:val=""/>
      <w:lvlJc w:val="left"/>
      <w:pPr>
        <w:ind w:left="720" w:hanging="360"/>
      </w:pPr>
      <w:rPr>
        <w:rFonts w:ascii="Symbol" w:hAnsi="Symbol" w:hint="default"/>
      </w:rPr>
    </w:lvl>
  </w:abstractNum>
  <w:abstractNum w:abstractNumId="2" w15:restartNumberingAfterBreak="0">
    <w:nsid w:val="51364230"/>
    <w:multiLevelType w:val="singleLevel"/>
    <w:tmpl w:val="40090001"/>
    <w:lvl w:ilvl="0">
      <w:start w:val="1"/>
      <w:numFmt w:val="bullet"/>
      <w:lvlText w:val=""/>
      <w:lvlJc w:val="left"/>
      <w:pPr>
        <w:ind w:left="720" w:hanging="360"/>
      </w:pPr>
      <w:rPr>
        <w:rFonts w:ascii="Symbol" w:hAnsi="Symbol" w:hint="default"/>
      </w:rPr>
    </w:lvl>
  </w:abstractNum>
  <w:abstractNum w:abstractNumId="3" w15:restartNumberingAfterBreak="0">
    <w:nsid w:val="683F0EB4"/>
    <w:multiLevelType w:val="singleLevel"/>
    <w:tmpl w:val="40090001"/>
    <w:lvl w:ilvl="0">
      <w:start w:val="1"/>
      <w:numFmt w:val="bullet"/>
      <w:lvlText w:val=""/>
      <w:lvlJc w:val="left"/>
      <w:pPr>
        <w:ind w:left="720" w:hanging="360"/>
      </w:pPr>
      <w:rPr>
        <w:rFonts w:ascii="Symbol" w:hAnsi="Symbol" w:hint="default"/>
      </w:rPr>
    </w:lvl>
  </w:abstractNum>
  <w:num w:numId="1" w16cid:durableId="958950194">
    <w:abstractNumId w:val="0"/>
  </w:num>
  <w:num w:numId="2" w16cid:durableId="1749957781">
    <w:abstractNumId w:val="2"/>
  </w:num>
  <w:num w:numId="3" w16cid:durableId="338507911">
    <w:abstractNumId w:val="1"/>
  </w:num>
  <w:num w:numId="4" w16cid:durableId="553464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8C6"/>
    <w:rsid w:val="00157885"/>
    <w:rsid w:val="004A41B3"/>
    <w:rsid w:val="005F7B97"/>
    <w:rsid w:val="00902274"/>
    <w:rsid w:val="00ED1A5D"/>
    <w:rsid w:val="00F46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662C"/>
  <w15:chartTrackingRefBased/>
  <w15:docId w15:val="{916B8037-5A43-41DF-96D2-6E0BCCD6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IN" w:eastAsia="en-US" w:bidi="ar-SA"/>
        <w14:ligatures w14:val="standardContextual"/>
      </w:rPr>
    </w:rPrDefault>
    <w:pPrDefault>
      <w:pPr>
        <w:spacing w:after="100" w:afterAutospacing="1" w:line="257"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40" w:lineRule="auto"/>
    </w:pPr>
    <w:rPr>
      <w:rFonts w:ascii="Aptos" w:hAnsi="Aptos"/>
      <w:color w:val="000000"/>
      <w:sz w:val="21"/>
    </w:rPr>
  </w:style>
  <w:style w:type="paragraph" w:styleId="Heading1">
    <w:name w:val="heading 1"/>
    <w:basedOn w:val="Normal"/>
    <w:next w:val="Normal"/>
    <w:link w:val="Heading1Char"/>
    <w:uiPriority w:val="9"/>
    <w:qFormat/>
    <w:rsid w:val="00F468C6"/>
    <w:pPr>
      <w:keepNext/>
      <w:keepLines/>
      <w:spacing w:after="240"/>
      <w:outlineLvl w:val="0"/>
    </w:pPr>
    <w:rPr>
      <w:rFonts w:ascii="Aptos Display" w:eastAsiaTheme="majorEastAsia" w:hAnsi="Aptos Display" w:cstheme="majorBidi"/>
      <w:b/>
      <w:sz w:val="46"/>
      <w:szCs w:val="40"/>
    </w:rPr>
  </w:style>
  <w:style w:type="paragraph" w:styleId="Heading2">
    <w:name w:val="heading 2"/>
    <w:basedOn w:val="Normal"/>
    <w:next w:val="Normal"/>
    <w:link w:val="Heading2Char"/>
    <w:uiPriority w:val="9"/>
    <w:unhideWhenUsed/>
    <w:qFormat/>
    <w:rsid w:val="00F468C6"/>
    <w:pPr>
      <w:keepNext/>
      <w:keepLines/>
      <w:spacing w:before="240" w:after="120"/>
      <w:outlineLvl w:val="1"/>
    </w:pPr>
    <w:rPr>
      <w:rFonts w:ascii="Aptos Display" w:eastAsiaTheme="majorEastAsia" w:hAnsi="Aptos Display" w:cstheme="majorBidi"/>
      <w:b/>
      <w:sz w:val="30"/>
      <w:szCs w:val="32"/>
    </w:rPr>
  </w:style>
  <w:style w:type="paragraph" w:styleId="Heading3">
    <w:name w:val="heading 3"/>
    <w:basedOn w:val="Normal"/>
    <w:next w:val="Normal"/>
    <w:link w:val="Heading3Char"/>
    <w:uiPriority w:val="9"/>
    <w:semiHidden/>
    <w:unhideWhenUsed/>
    <w:qFormat/>
    <w:rsid w:val="00F468C6"/>
    <w:pPr>
      <w:keepNext/>
      <w:keepLines/>
      <w:spacing w:before="16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F468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68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68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68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68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68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8C6"/>
    <w:rPr>
      <w:rFonts w:ascii="Aptos Display" w:eastAsiaTheme="majorEastAsia" w:hAnsi="Aptos Display" w:cstheme="majorBidi"/>
      <w:b/>
      <w:color w:val="000000"/>
      <w:sz w:val="46"/>
      <w:szCs w:val="40"/>
    </w:rPr>
  </w:style>
  <w:style w:type="character" w:customStyle="1" w:styleId="Heading2Char">
    <w:name w:val="Heading 2 Char"/>
    <w:basedOn w:val="DefaultParagraphFont"/>
    <w:link w:val="Heading2"/>
    <w:uiPriority w:val="9"/>
    <w:rsid w:val="00F468C6"/>
    <w:rPr>
      <w:rFonts w:ascii="Aptos Display" w:eastAsiaTheme="majorEastAsia" w:hAnsi="Aptos Display" w:cstheme="majorBidi"/>
      <w:b/>
      <w:color w:val="000000"/>
      <w:sz w:val="30"/>
      <w:szCs w:val="32"/>
    </w:rPr>
  </w:style>
  <w:style w:type="character" w:customStyle="1" w:styleId="Heading3Char">
    <w:name w:val="Heading 3 Char"/>
    <w:basedOn w:val="DefaultParagraphFont"/>
    <w:link w:val="Heading3"/>
    <w:uiPriority w:val="9"/>
    <w:semiHidden/>
    <w:rsid w:val="00F468C6"/>
    <w:rPr>
      <w:rFonts w:ascii="Aptos Display" w:eastAsiaTheme="majorEastAsia" w:hAnsi="Aptos Display" w:cstheme="majorBidi"/>
      <w:b/>
      <w:color w:val="000000"/>
      <w:sz w:val="22"/>
      <w:szCs w:val="28"/>
    </w:rPr>
  </w:style>
  <w:style w:type="character" w:customStyle="1" w:styleId="Heading4Char">
    <w:name w:val="Heading 4 Char"/>
    <w:basedOn w:val="DefaultParagraphFont"/>
    <w:link w:val="Heading4"/>
    <w:uiPriority w:val="9"/>
    <w:semiHidden/>
    <w:rsid w:val="00F468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468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468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68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68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68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68C6"/>
    <w:pPr>
      <w:spacing w:after="240"/>
      <w:contextualSpacing/>
    </w:pPr>
    <w:rPr>
      <w:rFonts w:ascii="Aptos Display" w:eastAsiaTheme="majorEastAsia" w:hAnsi="Aptos Display" w:cstheme="majorBidi"/>
      <w:b/>
      <w:spacing w:val="-10"/>
      <w:kern w:val="28"/>
      <w:sz w:val="68"/>
      <w:szCs w:val="56"/>
    </w:rPr>
  </w:style>
  <w:style w:type="character" w:customStyle="1" w:styleId="TitleChar">
    <w:name w:val="Title Char"/>
    <w:basedOn w:val="DefaultParagraphFont"/>
    <w:link w:val="Title"/>
    <w:uiPriority w:val="10"/>
    <w:rsid w:val="00F468C6"/>
    <w:rPr>
      <w:rFonts w:ascii="Aptos Display" w:eastAsiaTheme="majorEastAsia" w:hAnsi="Aptos Display" w:cstheme="majorBidi"/>
      <w:b/>
      <w:color w:val="000000"/>
      <w:spacing w:val="-10"/>
      <w:kern w:val="28"/>
      <w:sz w:val="68"/>
      <w:szCs w:val="56"/>
    </w:rPr>
  </w:style>
  <w:style w:type="paragraph" w:styleId="Subtitle">
    <w:name w:val="Subtitle"/>
    <w:basedOn w:val="Normal"/>
    <w:next w:val="Normal"/>
    <w:link w:val="SubtitleChar"/>
    <w:uiPriority w:val="11"/>
    <w:qFormat/>
    <w:rsid w:val="00F468C6"/>
    <w:pPr>
      <w:numPr>
        <w:ilvl w:val="1"/>
      </w:numPr>
      <w:spacing w:after="360"/>
    </w:pPr>
    <w:rPr>
      <w:rFonts w:eastAsiaTheme="majorEastAsia" w:cstheme="majorBidi"/>
      <w:color w:val="5C606F"/>
      <w:spacing w:val="15"/>
      <w:sz w:val="30"/>
      <w:szCs w:val="28"/>
    </w:rPr>
  </w:style>
  <w:style w:type="character" w:customStyle="1" w:styleId="SubtitleChar">
    <w:name w:val="Subtitle Char"/>
    <w:basedOn w:val="DefaultParagraphFont"/>
    <w:link w:val="Subtitle"/>
    <w:uiPriority w:val="11"/>
    <w:rsid w:val="00F468C6"/>
    <w:rPr>
      <w:rFonts w:ascii="Aptos" w:eastAsiaTheme="majorEastAsia" w:hAnsi="Aptos" w:cstheme="majorBidi"/>
      <w:color w:val="5C606F"/>
      <w:spacing w:val="15"/>
      <w:sz w:val="30"/>
      <w:szCs w:val="28"/>
    </w:rPr>
  </w:style>
  <w:style w:type="paragraph" w:styleId="Quote">
    <w:name w:val="Quote"/>
    <w:basedOn w:val="Normal"/>
    <w:next w:val="Normal"/>
    <w:link w:val="QuoteChar"/>
    <w:uiPriority w:val="29"/>
    <w:qFormat/>
    <w:rsid w:val="00F468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68C6"/>
    <w:rPr>
      <w:i/>
      <w:iCs/>
      <w:color w:val="404040" w:themeColor="text1" w:themeTint="BF"/>
    </w:rPr>
  </w:style>
  <w:style w:type="paragraph" w:styleId="ListParagraph">
    <w:name w:val="List Paragraph"/>
    <w:basedOn w:val="Normal"/>
    <w:uiPriority w:val="34"/>
    <w:qFormat/>
    <w:rsid w:val="00F468C6"/>
    <w:pPr>
      <w:ind w:left="720"/>
      <w:contextualSpacing/>
    </w:pPr>
  </w:style>
  <w:style w:type="character" w:styleId="IntenseEmphasis">
    <w:name w:val="Intense Emphasis"/>
    <w:basedOn w:val="DefaultParagraphFont"/>
    <w:uiPriority w:val="21"/>
    <w:qFormat/>
    <w:rsid w:val="00F468C6"/>
    <w:rPr>
      <w:i/>
      <w:iCs/>
      <w:color w:val="2F5496" w:themeColor="accent1" w:themeShade="BF"/>
    </w:rPr>
  </w:style>
  <w:style w:type="paragraph" w:styleId="IntenseQuote">
    <w:name w:val="Intense Quote"/>
    <w:basedOn w:val="Normal"/>
    <w:next w:val="Normal"/>
    <w:link w:val="IntenseQuoteChar"/>
    <w:uiPriority w:val="30"/>
    <w:qFormat/>
    <w:rsid w:val="00F46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8C6"/>
    <w:rPr>
      <w:i/>
      <w:iCs/>
      <w:color w:val="2F5496" w:themeColor="accent1" w:themeShade="BF"/>
    </w:rPr>
  </w:style>
  <w:style w:type="character" w:styleId="IntenseReference">
    <w:name w:val="Intense Reference"/>
    <w:basedOn w:val="DefaultParagraphFont"/>
    <w:uiPriority w:val="32"/>
    <w:qFormat/>
    <w:rsid w:val="00F468C6"/>
    <w:rPr>
      <w:b/>
      <w:bCs/>
      <w:smallCaps/>
      <w:color w:val="2F5496" w:themeColor="accent1" w:themeShade="BF"/>
      <w:spacing w:val="5"/>
    </w:rPr>
  </w:style>
  <w:style w:type="paragraph" w:styleId="Header">
    <w:name w:val="header"/>
    <w:basedOn w:val="Normal"/>
    <w:link w:val="HeaderChar"/>
    <w:uiPriority w:val="99"/>
    <w:unhideWhenUsed/>
    <w:rsid w:val="00F468C6"/>
    <w:pPr>
      <w:tabs>
        <w:tab w:val="center" w:pos="4513"/>
        <w:tab w:val="right" w:pos="9026"/>
      </w:tabs>
      <w:spacing w:after="0"/>
    </w:pPr>
  </w:style>
  <w:style w:type="character" w:customStyle="1" w:styleId="HeaderChar">
    <w:name w:val="Header Char"/>
    <w:basedOn w:val="DefaultParagraphFont"/>
    <w:link w:val="Header"/>
    <w:uiPriority w:val="99"/>
    <w:rsid w:val="00F468C6"/>
    <w:rPr>
      <w:rFonts w:ascii="Aptos" w:hAnsi="Aptos"/>
      <w:color w:val="000000"/>
      <w:sz w:val="21"/>
    </w:rPr>
  </w:style>
  <w:style w:type="paragraph" w:styleId="Footer">
    <w:name w:val="footer"/>
    <w:basedOn w:val="Normal"/>
    <w:link w:val="FooterChar"/>
    <w:uiPriority w:val="99"/>
    <w:unhideWhenUsed/>
    <w:rsid w:val="00F468C6"/>
    <w:pPr>
      <w:tabs>
        <w:tab w:val="center" w:pos="4513"/>
        <w:tab w:val="right" w:pos="9026"/>
      </w:tabs>
      <w:spacing w:after="0"/>
    </w:pPr>
  </w:style>
  <w:style w:type="character" w:customStyle="1" w:styleId="FooterChar">
    <w:name w:val="Footer Char"/>
    <w:basedOn w:val="DefaultParagraphFont"/>
    <w:link w:val="Footer"/>
    <w:uiPriority w:val="99"/>
    <w:rsid w:val="00F468C6"/>
    <w:rPr>
      <w:rFonts w:ascii="Aptos" w:hAnsi="Aptos"/>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1634</Words>
  <Characters>9315</Characters>
  <Application>Microsoft Office Word</Application>
  <DocSecurity>0</DocSecurity>
  <Lines>77</Lines>
  <Paragraphs>21</Paragraphs>
  <ScaleCrop>false</ScaleCrop>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Mohan</dc:creator>
  <cp:keywords/>
  <dc:description/>
  <cp:lastModifiedBy>D Mohan</cp:lastModifiedBy>
  <cp:revision>1</cp:revision>
  <dcterms:created xsi:type="dcterms:W3CDTF">2026-10-06T04:59:00Z</dcterms:created>
  <dcterms:modified xsi:type="dcterms:W3CDTF">2026-10-06T04:59:00Z</dcterms:modified>
</cp:coreProperties>
</file>