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EE56" w14:textId="77777777" w:rsidR="00EB5F3C" w:rsidRPr="00EB5F3C" w:rsidRDefault="00EB5F3C" w:rsidP="00EB5F3C">
      <w:pPr>
        <w:rPr>
          <w:lang w:val="es-US"/>
        </w:rPr>
      </w:pPr>
      <w:r w:rsidRPr="00EB5F3C">
        <w:rPr>
          <w:b/>
          <w:bCs/>
          <w:lang w:val="es-US"/>
        </w:rPr>
        <w:t>Resumen Ejecutivo del Proceso de la App RCV en Venezuela: Cotización, Emisión y Pago</w:t>
      </w:r>
    </w:p>
    <w:p w14:paraId="1DDC1E7A" w14:textId="77777777" w:rsidR="00EB5F3C" w:rsidRPr="00EB5F3C" w:rsidRDefault="00EB5F3C" w:rsidP="00EB5F3C">
      <w:pPr>
        <w:rPr>
          <w:lang w:val="es-US"/>
        </w:rPr>
      </w:pPr>
      <w:r w:rsidRPr="00EB5F3C">
        <w:rPr>
          <w:b/>
          <w:bCs/>
          <w:lang w:val="es-US"/>
        </w:rPr>
        <w:t>Objetivo:</w:t>
      </w:r>
      <w:r w:rsidRPr="00EB5F3C">
        <w:rPr>
          <w:lang w:val="es-US"/>
        </w:rPr>
        <w:t xml:space="preserve"> El objetivo principal del documento es definir el flujo completo de usuario, las pantallas, campos, validaciones, mensajes y eventos necesarios para el desarrollo y diseño de una aplicación móvil para el Seguro de Responsabilidad Civil de Vehículos (RCV) en Venezuela. El proyecto se enfoca en cumplir con las mejores prácticas de experiencia de usuario (UX) y los lineamientos establecidos por SUDEASEG para el RCV.</w:t>
      </w:r>
    </w:p>
    <w:p w14:paraId="208A01DE" w14:textId="77777777" w:rsidR="00EB5F3C" w:rsidRPr="00EB5F3C" w:rsidRDefault="00EB5F3C" w:rsidP="00EB5F3C">
      <w:pPr>
        <w:rPr>
          <w:lang w:val="es-US"/>
        </w:rPr>
      </w:pPr>
      <w:r w:rsidRPr="00EB5F3C">
        <w:rPr>
          <w:b/>
          <w:bCs/>
          <w:lang w:val="es-US"/>
        </w:rPr>
        <w:t>Flujo del Usuario (Happy Path):</w:t>
      </w:r>
      <w:r w:rsidRPr="00EB5F3C">
        <w:rPr>
          <w:lang w:val="es-US"/>
        </w:rPr>
        <w:t xml:space="preserve"> El proceso, diseñado para ser rápido y eficiente, consta de 8 pasos principales y está planificado para completarse en menos de 6 minutos con documentos legibles:</w:t>
      </w:r>
    </w:p>
    <w:p w14:paraId="6976696D" w14:textId="77777777" w:rsidR="00EB5F3C" w:rsidRPr="00EB5F3C" w:rsidRDefault="00EB5F3C" w:rsidP="00EB5F3C">
      <w:pPr>
        <w:numPr>
          <w:ilvl w:val="0"/>
          <w:numId w:val="1"/>
        </w:numPr>
        <w:rPr>
          <w:lang w:val="es-US"/>
        </w:rPr>
      </w:pPr>
      <w:r w:rsidRPr="00EB5F3C">
        <w:rPr>
          <w:b/>
          <w:bCs/>
          <w:lang w:val="es-US"/>
        </w:rPr>
        <w:t>Onboarding y Registro:</w:t>
      </w:r>
      <w:r w:rsidRPr="00EB5F3C">
        <w:rPr>
          <w:lang w:val="es-US"/>
        </w:rPr>
        <w:t xml:space="preserve"> El usuario comienza con una pantalla de bienvenida, seguida del registro con campos básicos (nombre, cédula, teléfono, email y contraseña). La cuenta se verifica a través de un código de 6 dígitos enviado por SMS o WhatsApp.</w:t>
      </w:r>
    </w:p>
    <w:p w14:paraId="7EB77B3F" w14:textId="77777777" w:rsidR="00EB5F3C" w:rsidRPr="00EB5F3C" w:rsidRDefault="00EB5F3C" w:rsidP="00EB5F3C">
      <w:pPr>
        <w:numPr>
          <w:ilvl w:val="0"/>
          <w:numId w:val="1"/>
        </w:numPr>
        <w:rPr>
          <w:lang w:val="es-US"/>
        </w:rPr>
      </w:pPr>
      <w:r w:rsidRPr="00EB5F3C">
        <w:rPr>
          <w:b/>
          <w:bCs/>
          <w:lang w:val="es-US"/>
        </w:rPr>
        <w:t>Cotización y Selección de Producto:</w:t>
      </w:r>
      <w:r w:rsidRPr="00EB5F3C">
        <w:rPr>
          <w:lang w:val="es-US"/>
        </w:rPr>
        <w:t xml:space="preserve"> Una vez registrado, el usuario accede a la pantalla principal, donde puede cotizar su RCV. Se ofrecen dos opciones: "Solo RCV" y "RCV + Grúa". La opción de pago mensual solo está disponible para domiciliación.</w:t>
      </w:r>
    </w:p>
    <w:p w14:paraId="60001B5E" w14:textId="77777777" w:rsidR="00EB5F3C" w:rsidRPr="00EB5F3C" w:rsidRDefault="00EB5F3C" w:rsidP="00EB5F3C">
      <w:pPr>
        <w:numPr>
          <w:ilvl w:val="0"/>
          <w:numId w:val="1"/>
        </w:numPr>
        <w:rPr>
          <w:lang w:val="es-US"/>
        </w:rPr>
      </w:pPr>
      <w:r w:rsidRPr="00EB5F3C">
        <w:rPr>
          <w:b/>
          <w:bCs/>
          <w:lang w:val="es-US"/>
        </w:rPr>
        <w:t>Carga de Documentos (OCR):</w:t>
      </w:r>
      <w:r w:rsidRPr="00EB5F3C">
        <w:rPr>
          <w:lang w:val="es-US"/>
        </w:rPr>
        <w:t xml:space="preserve"> El usuario debe cargar fotos de su cédula de identidad, el </w:t>
      </w:r>
      <w:proofErr w:type="gramStart"/>
      <w:r w:rsidRPr="00EB5F3C">
        <w:rPr>
          <w:lang w:val="es-US"/>
        </w:rPr>
        <w:t>carnet</w:t>
      </w:r>
      <w:proofErr w:type="gramEnd"/>
      <w:r w:rsidRPr="00EB5F3C">
        <w:rPr>
          <w:lang w:val="es-US"/>
        </w:rPr>
        <w:t xml:space="preserve"> de circulación/título de propiedad y la parte trasera del vehículo (con la placa visible). La aplicación utiliza tecnología OCR (Reconocimiento Óptico de Caracteres) para extraer los datos automáticamente.</w:t>
      </w:r>
    </w:p>
    <w:p w14:paraId="7F26CC2C" w14:textId="77777777" w:rsidR="00EB5F3C" w:rsidRPr="00EB5F3C" w:rsidRDefault="00EB5F3C" w:rsidP="00EB5F3C">
      <w:pPr>
        <w:numPr>
          <w:ilvl w:val="0"/>
          <w:numId w:val="1"/>
        </w:numPr>
        <w:rPr>
          <w:lang w:val="es-US"/>
        </w:rPr>
      </w:pPr>
      <w:r w:rsidRPr="00EB5F3C">
        <w:rPr>
          <w:b/>
          <w:bCs/>
          <w:lang w:val="es-US"/>
        </w:rPr>
        <w:t>Extracción y Verificación de Datos:</w:t>
      </w:r>
      <w:r w:rsidRPr="00EB5F3C">
        <w:rPr>
          <w:lang w:val="es-US"/>
        </w:rPr>
        <w:t xml:space="preserve"> La información extraída por OCR se muestra al usuario para que la revise y confirme. La aplicación valida que el nombre y la cédula del propietario del vehículo coincidan con los del documento de identidad. En caso de campos incompletos o faltantes, se marcan en ámbar para que el usuario los complete manualmente.</w:t>
      </w:r>
    </w:p>
    <w:p w14:paraId="0E73AAD3" w14:textId="77777777" w:rsidR="00EB5F3C" w:rsidRPr="00EB5F3C" w:rsidRDefault="00EB5F3C" w:rsidP="00EB5F3C">
      <w:pPr>
        <w:numPr>
          <w:ilvl w:val="0"/>
          <w:numId w:val="1"/>
        </w:numPr>
        <w:rPr>
          <w:lang w:val="es-US"/>
        </w:rPr>
      </w:pPr>
      <w:r w:rsidRPr="00EB5F3C">
        <w:rPr>
          <w:b/>
          <w:bCs/>
          <w:lang w:val="es-US"/>
        </w:rPr>
        <w:t>Emisión de la Póliza:</w:t>
      </w:r>
      <w:r w:rsidRPr="00EB5F3C">
        <w:rPr>
          <w:lang w:val="es-US"/>
        </w:rPr>
        <w:t xml:space="preserve"> Después de la confirmación de datos, se solicita la emisión de la póliza a través del "core" de la aseguradora. El sistema puede arrojar resultados de "Éxito," "Observada" (con campos a corregir), o "Rechazada".</w:t>
      </w:r>
    </w:p>
    <w:p w14:paraId="066D176E" w14:textId="77777777" w:rsidR="00EB5F3C" w:rsidRPr="00EB5F3C" w:rsidRDefault="00EB5F3C" w:rsidP="00EB5F3C">
      <w:pPr>
        <w:numPr>
          <w:ilvl w:val="0"/>
          <w:numId w:val="1"/>
        </w:numPr>
        <w:rPr>
          <w:lang w:val="es-US"/>
        </w:rPr>
      </w:pPr>
      <w:r w:rsidRPr="00EB5F3C">
        <w:rPr>
          <w:b/>
          <w:bCs/>
          <w:lang w:val="es-US"/>
        </w:rPr>
        <w:t>Pago:</w:t>
      </w:r>
      <w:r w:rsidRPr="00EB5F3C">
        <w:rPr>
          <w:lang w:val="es-US"/>
        </w:rPr>
        <w:t xml:space="preserve"> El usuario elige la frecuencia de pago (anual o mensual) y el método de pago. Las opciones incluyen tarjeta (tokenizada), Pago Móvil P2C, transferencia (con carga de comprobante) y domiciliación (con consentimiento expreso).</w:t>
      </w:r>
    </w:p>
    <w:p w14:paraId="222881F9" w14:textId="77777777" w:rsidR="00EB5F3C" w:rsidRPr="00EB5F3C" w:rsidRDefault="00EB5F3C" w:rsidP="00EB5F3C">
      <w:pPr>
        <w:numPr>
          <w:ilvl w:val="0"/>
          <w:numId w:val="1"/>
        </w:numPr>
        <w:rPr>
          <w:lang w:val="es-US"/>
        </w:rPr>
      </w:pPr>
      <w:r w:rsidRPr="00EB5F3C">
        <w:rPr>
          <w:b/>
          <w:bCs/>
          <w:lang w:val="es-US"/>
        </w:rPr>
        <w:lastRenderedPageBreak/>
        <w:t>Confirmación y Descarga:</w:t>
      </w:r>
      <w:r w:rsidRPr="00EB5F3C">
        <w:rPr>
          <w:lang w:val="es-US"/>
        </w:rPr>
        <w:t xml:space="preserve"> Tras un pago exitoso, la aplicación muestra un mensaje de confirmación y permite la descarga inmediata del certificado RCV y la póliza en formato PDF.</w:t>
      </w:r>
    </w:p>
    <w:p w14:paraId="070EEAFA" w14:textId="77777777" w:rsidR="00EB5F3C" w:rsidRPr="00EB5F3C" w:rsidRDefault="00EB5F3C" w:rsidP="00EB5F3C">
      <w:pPr>
        <w:numPr>
          <w:ilvl w:val="0"/>
          <w:numId w:val="1"/>
        </w:numPr>
        <w:rPr>
          <w:lang w:val="es-US"/>
        </w:rPr>
      </w:pPr>
      <w:r w:rsidRPr="00EB5F3C">
        <w:rPr>
          <w:b/>
          <w:bCs/>
          <w:lang w:val="es-US"/>
        </w:rPr>
        <w:t>Gestión de Pólizas:</w:t>
      </w:r>
      <w:r w:rsidRPr="00EB5F3C">
        <w:rPr>
          <w:lang w:val="es-US"/>
        </w:rPr>
        <w:t xml:space="preserve"> El usuario puede acceder a una sección donde se listan todas sus pólizas (vigentes, por pagar, vencidas) y ver detalles, descargar documentos o gestionar pagos futuros.</w:t>
      </w:r>
    </w:p>
    <w:p w14:paraId="6259312A" w14:textId="77777777" w:rsidR="00EB5F3C" w:rsidRPr="00EB5F3C" w:rsidRDefault="00EB5F3C" w:rsidP="00EB5F3C">
      <w:pPr>
        <w:rPr>
          <w:lang w:val="es-US"/>
        </w:rPr>
      </w:pPr>
      <w:r w:rsidRPr="00EB5F3C">
        <w:rPr>
          <w:b/>
          <w:bCs/>
          <w:lang w:val="es-US"/>
        </w:rPr>
        <w:t>Validaciones y Seguridad:</w:t>
      </w:r>
      <w:r w:rsidRPr="00EB5F3C">
        <w:rPr>
          <w:lang w:val="es-US"/>
        </w:rPr>
        <w:t xml:space="preserve"> El sistema implementa validaciones estrictas, como la verificación de la edad (mayor de 18 años), el formato de la cédula y la robustez de la contraseña. Se utilizan mecanismos de seguridad como OTP para el registro, encriptación de datos, y cumplimiento de normativas como PCI-DSS para los pagos, sin almacenar números de tarjeta. En caso de que la coincidencia entre el propietario del vehículo y la cédula falle, se advierte al usuario con un mensaje claro y se le ofrecen opciones para corregir.</w:t>
      </w:r>
    </w:p>
    <w:p w14:paraId="12C008E1" w14:textId="77777777" w:rsidR="00EB5F3C" w:rsidRPr="00EB5F3C" w:rsidRDefault="00EB5F3C" w:rsidP="00EB5F3C">
      <w:pPr>
        <w:rPr>
          <w:lang w:val="es-US"/>
        </w:rPr>
      </w:pPr>
      <w:r w:rsidRPr="00EB5F3C">
        <w:rPr>
          <w:b/>
          <w:bCs/>
          <w:lang w:val="es-US"/>
        </w:rPr>
        <w:t>Requisitos Legales y de Cumplimiento:</w:t>
      </w:r>
      <w:r w:rsidRPr="00EB5F3C">
        <w:rPr>
          <w:lang w:val="es-US"/>
        </w:rPr>
        <w:t xml:space="preserve"> El documento destaca la importancia de cumplir con los requisitos de SUDEASEG, que incluyen la correcta identificación del tomador y del vehículo, la declaración de veracidad de datos, la aceptación de condiciones generales, y la conservación de evidencia de los consentimientos y transacciones</w:t>
      </w:r>
    </w:p>
    <w:p w14:paraId="1A506E68" w14:textId="77777777" w:rsidR="00EB5F3C" w:rsidRPr="00EB5F3C" w:rsidRDefault="00EB5F3C">
      <w:pPr>
        <w:rPr>
          <w:lang w:val="es-US"/>
        </w:rPr>
      </w:pPr>
    </w:p>
    <w:sectPr w:rsidR="00EB5F3C" w:rsidRPr="00EB5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D2D33"/>
    <w:multiLevelType w:val="multilevel"/>
    <w:tmpl w:val="7934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93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3C"/>
    <w:rsid w:val="00155EA2"/>
    <w:rsid w:val="00EB5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04B8"/>
  <w15:chartTrackingRefBased/>
  <w15:docId w15:val="{95E1CD0B-C1F2-4D30-AA87-8529BD6D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F3C"/>
    <w:rPr>
      <w:rFonts w:eastAsiaTheme="majorEastAsia" w:cstheme="majorBidi"/>
      <w:color w:val="272727" w:themeColor="text1" w:themeTint="D8"/>
    </w:rPr>
  </w:style>
  <w:style w:type="paragraph" w:styleId="Title">
    <w:name w:val="Title"/>
    <w:basedOn w:val="Normal"/>
    <w:next w:val="Normal"/>
    <w:link w:val="TitleChar"/>
    <w:uiPriority w:val="10"/>
    <w:qFormat/>
    <w:rsid w:val="00EB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F3C"/>
    <w:pPr>
      <w:spacing w:before="160"/>
      <w:jc w:val="center"/>
    </w:pPr>
    <w:rPr>
      <w:i/>
      <w:iCs/>
      <w:color w:val="404040" w:themeColor="text1" w:themeTint="BF"/>
    </w:rPr>
  </w:style>
  <w:style w:type="character" w:customStyle="1" w:styleId="QuoteChar">
    <w:name w:val="Quote Char"/>
    <w:basedOn w:val="DefaultParagraphFont"/>
    <w:link w:val="Quote"/>
    <w:uiPriority w:val="29"/>
    <w:rsid w:val="00EB5F3C"/>
    <w:rPr>
      <w:i/>
      <w:iCs/>
      <w:color w:val="404040" w:themeColor="text1" w:themeTint="BF"/>
    </w:rPr>
  </w:style>
  <w:style w:type="paragraph" w:styleId="ListParagraph">
    <w:name w:val="List Paragraph"/>
    <w:basedOn w:val="Normal"/>
    <w:uiPriority w:val="34"/>
    <w:qFormat/>
    <w:rsid w:val="00EB5F3C"/>
    <w:pPr>
      <w:ind w:left="720"/>
      <w:contextualSpacing/>
    </w:pPr>
  </w:style>
  <w:style w:type="character" w:styleId="IntenseEmphasis">
    <w:name w:val="Intense Emphasis"/>
    <w:basedOn w:val="DefaultParagraphFont"/>
    <w:uiPriority w:val="21"/>
    <w:qFormat/>
    <w:rsid w:val="00EB5F3C"/>
    <w:rPr>
      <w:i/>
      <w:iCs/>
      <w:color w:val="0F4761" w:themeColor="accent1" w:themeShade="BF"/>
    </w:rPr>
  </w:style>
  <w:style w:type="paragraph" w:styleId="IntenseQuote">
    <w:name w:val="Intense Quote"/>
    <w:basedOn w:val="Normal"/>
    <w:next w:val="Normal"/>
    <w:link w:val="IntenseQuoteChar"/>
    <w:uiPriority w:val="30"/>
    <w:qFormat/>
    <w:rsid w:val="00EB5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F3C"/>
    <w:rPr>
      <w:i/>
      <w:iCs/>
      <w:color w:val="0F4761" w:themeColor="accent1" w:themeShade="BF"/>
    </w:rPr>
  </w:style>
  <w:style w:type="character" w:styleId="IntenseReference">
    <w:name w:val="Intense Reference"/>
    <w:basedOn w:val="DefaultParagraphFont"/>
    <w:uiPriority w:val="32"/>
    <w:qFormat/>
    <w:rsid w:val="00EB5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Sanchez</dc:creator>
  <cp:keywords/>
  <dc:description/>
  <cp:lastModifiedBy>Alex Sanchez</cp:lastModifiedBy>
  <cp:revision>1</cp:revision>
  <dcterms:created xsi:type="dcterms:W3CDTF">2025-08-16T17:33:00Z</dcterms:created>
  <dcterms:modified xsi:type="dcterms:W3CDTF">2025-08-16T17:34:00Z</dcterms:modified>
</cp:coreProperties>
</file>