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0C5" w:rsidRPr="005D5D31" w:rsidRDefault="005A78CB" w:rsidP="006F10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Packing Instruction 965–IB</w:t>
      </w:r>
    </w:p>
    <w:p w:rsidR="006F10C5" w:rsidRPr="005D5D31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 xml:space="preserve">Please refer to section 2.3.4 </w:t>
      </w:r>
      <w:r w:rsidR="005D5D31" w:rsidRPr="005D5D31">
        <w:rPr>
          <w:rFonts w:ascii="Arial" w:hAnsi="Arial" w:cs="Arial"/>
          <w:sz w:val="20"/>
          <w:szCs w:val="20"/>
        </w:rPr>
        <w:t>for List of Operator Variations</w:t>
      </w:r>
    </w:p>
    <w:p w:rsidR="006F10C5" w:rsidRPr="005D5D31" w:rsidRDefault="006F10C5" w:rsidP="006F10C5">
      <w:pPr>
        <w:rPr>
          <w:rFonts w:ascii="Arial" w:hAnsi="Arial" w:cs="Arial"/>
          <w:sz w:val="20"/>
          <w:szCs w:val="20"/>
        </w:rPr>
      </w:pPr>
      <w:r w:rsidRPr="005D5D31">
        <w:rPr>
          <w:rFonts w:ascii="Arial" w:hAnsi="Arial" w:cs="Arial"/>
          <w:sz w:val="20"/>
          <w:szCs w:val="20"/>
        </w:rPr>
        <w:t>Introduction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This instruction applies to lithium ion or lithium polymer cells and batteries (UN 3480) on Cargo Aircraft Only.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 xml:space="preserve">This instruction applies to lithium ion cells with a Watt-hour rating not </w:t>
      </w:r>
      <w:r>
        <w:rPr>
          <w:rFonts w:ascii="Arial" w:hAnsi="Arial" w:cs="Arial"/>
          <w:sz w:val="20"/>
          <w:szCs w:val="20"/>
        </w:rPr>
        <w:t xml:space="preserve">exceeding 20 </w:t>
      </w:r>
      <w:proofErr w:type="gramStart"/>
      <w:r>
        <w:rPr>
          <w:rFonts w:ascii="Arial" w:hAnsi="Arial" w:cs="Arial"/>
          <w:sz w:val="20"/>
          <w:szCs w:val="20"/>
        </w:rPr>
        <w:t>Wh</w:t>
      </w:r>
      <w:proofErr w:type="gramEnd"/>
      <w:r>
        <w:rPr>
          <w:rFonts w:ascii="Arial" w:hAnsi="Arial" w:cs="Arial"/>
          <w:sz w:val="20"/>
          <w:szCs w:val="20"/>
        </w:rPr>
        <w:t xml:space="preserve"> and lithium ion </w:t>
      </w:r>
      <w:r w:rsidRPr="00FE3168">
        <w:rPr>
          <w:rFonts w:ascii="Arial" w:hAnsi="Arial" w:cs="Arial"/>
          <w:sz w:val="20"/>
          <w:szCs w:val="20"/>
        </w:rPr>
        <w:t>batteries with a Watt-hour rating not exceeding 100 Wh (UN 3480) packe</w:t>
      </w:r>
      <w:r>
        <w:rPr>
          <w:rFonts w:ascii="Arial" w:hAnsi="Arial" w:cs="Arial"/>
          <w:sz w:val="20"/>
          <w:szCs w:val="20"/>
        </w:rPr>
        <w:t xml:space="preserve">d in quantities that exceed the </w:t>
      </w:r>
      <w:r w:rsidRPr="00FE3168">
        <w:rPr>
          <w:rFonts w:ascii="Arial" w:hAnsi="Arial" w:cs="Arial"/>
          <w:sz w:val="20"/>
          <w:szCs w:val="20"/>
        </w:rPr>
        <w:t>allowance permitted in Section II, Table 965-II.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Quantities of cells or batteries prepared in accordance with this section must be assigned to Class 9 and</w:t>
      </w:r>
      <w:r>
        <w:rPr>
          <w:rFonts w:ascii="Arial" w:hAnsi="Arial" w:cs="Arial"/>
          <w:sz w:val="20"/>
          <w:szCs w:val="20"/>
        </w:rPr>
        <w:t xml:space="preserve"> are </w:t>
      </w:r>
      <w:r w:rsidRPr="00FE3168">
        <w:rPr>
          <w:rFonts w:ascii="Arial" w:hAnsi="Arial" w:cs="Arial"/>
          <w:sz w:val="20"/>
          <w:szCs w:val="20"/>
        </w:rPr>
        <w:t>subject to all of the applicable provisions of these Guidelines (including t</w:t>
      </w:r>
      <w:r>
        <w:rPr>
          <w:rFonts w:ascii="Arial" w:hAnsi="Arial" w:cs="Arial"/>
          <w:sz w:val="20"/>
          <w:szCs w:val="20"/>
        </w:rPr>
        <w:t xml:space="preserve">he General Requirements of this </w:t>
      </w:r>
      <w:r w:rsidRPr="00FE3168">
        <w:rPr>
          <w:rFonts w:ascii="Arial" w:hAnsi="Arial" w:cs="Arial"/>
          <w:sz w:val="20"/>
          <w:szCs w:val="20"/>
        </w:rPr>
        <w:t>packing instruction), except for the provisions of Section 6.</w:t>
      </w:r>
    </w:p>
    <w:p w:rsidR="005D5D31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A single cell battery as defined in Part III, sub-section 38.3.2.3 of the UN Manu</w:t>
      </w:r>
      <w:r>
        <w:rPr>
          <w:rFonts w:ascii="Arial" w:hAnsi="Arial" w:cs="Arial"/>
          <w:sz w:val="20"/>
          <w:szCs w:val="20"/>
        </w:rPr>
        <w:t xml:space="preserve">al of Tests and Criteria is </w:t>
      </w:r>
      <w:r w:rsidRPr="00FE3168">
        <w:rPr>
          <w:rFonts w:ascii="Arial" w:hAnsi="Arial" w:cs="Arial"/>
          <w:sz w:val="20"/>
          <w:szCs w:val="20"/>
        </w:rPr>
        <w:t xml:space="preserve">considered a “cell” and must be transported according to the requirements for </w:t>
      </w:r>
      <w:r>
        <w:rPr>
          <w:rFonts w:ascii="Arial" w:hAnsi="Arial" w:cs="Arial"/>
          <w:sz w:val="20"/>
          <w:szCs w:val="20"/>
        </w:rPr>
        <w:t xml:space="preserve">“cells” for the purpose of this </w:t>
      </w:r>
      <w:r w:rsidRPr="00FE3168">
        <w:rPr>
          <w:rFonts w:ascii="Arial" w:hAnsi="Arial" w:cs="Arial"/>
          <w:sz w:val="20"/>
          <w:szCs w:val="20"/>
        </w:rPr>
        <w:t>packing instruction.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General Requirements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The following requirements apply to all lithium ion or lithium polymer cells and batteries: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(a) cells and batteries identified by the manufacturer as being defective for sa</w:t>
      </w:r>
      <w:r>
        <w:rPr>
          <w:rFonts w:ascii="Arial" w:hAnsi="Arial" w:cs="Arial"/>
          <w:sz w:val="20"/>
          <w:szCs w:val="20"/>
        </w:rPr>
        <w:t xml:space="preserve">fety reasons, or that have been </w:t>
      </w:r>
      <w:r w:rsidRPr="00FE3168">
        <w:rPr>
          <w:rFonts w:ascii="Arial" w:hAnsi="Arial" w:cs="Arial"/>
          <w:sz w:val="20"/>
          <w:szCs w:val="20"/>
        </w:rPr>
        <w:t xml:space="preserve">damaged, that have the potential of producing a dangerous evolution of </w:t>
      </w:r>
      <w:r>
        <w:rPr>
          <w:rFonts w:ascii="Arial" w:hAnsi="Arial" w:cs="Arial"/>
          <w:sz w:val="20"/>
          <w:szCs w:val="20"/>
        </w:rPr>
        <w:t xml:space="preserve">heat, fire or short circuit are </w:t>
      </w:r>
      <w:r w:rsidRPr="00FE3168">
        <w:rPr>
          <w:rFonts w:ascii="Arial" w:hAnsi="Arial" w:cs="Arial"/>
          <w:sz w:val="20"/>
          <w:szCs w:val="20"/>
        </w:rPr>
        <w:t>forbidden for transport (e.g. those being returned to the manufacturer for safety reasons);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(b) waste batteries and batteries being shipped for recycling or disposal a</w:t>
      </w:r>
      <w:r>
        <w:rPr>
          <w:rFonts w:ascii="Arial" w:hAnsi="Arial" w:cs="Arial"/>
          <w:sz w:val="20"/>
          <w:szCs w:val="20"/>
        </w:rPr>
        <w:t xml:space="preserve">re forbidden from air transport </w:t>
      </w:r>
      <w:r w:rsidRPr="00FE3168">
        <w:rPr>
          <w:rFonts w:ascii="Arial" w:hAnsi="Arial" w:cs="Arial"/>
          <w:sz w:val="20"/>
          <w:szCs w:val="20"/>
        </w:rPr>
        <w:t>unless approved by the appropriate national authority of the State of origin and the State of the operator;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(c) cells and batteries must be protected so as to prevent short circuits. T</w:t>
      </w:r>
      <w:r>
        <w:rPr>
          <w:rFonts w:ascii="Arial" w:hAnsi="Arial" w:cs="Arial"/>
          <w:sz w:val="20"/>
          <w:szCs w:val="20"/>
        </w:rPr>
        <w:t xml:space="preserve">his includes protection against </w:t>
      </w:r>
      <w:r w:rsidRPr="00FE3168">
        <w:rPr>
          <w:rFonts w:ascii="Arial" w:hAnsi="Arial" w:cs="Arial"/>
          <w:sz w:val="20"/>
          <w:szCs w:val="20"/>
        </w:rPr>
        <w:t>contact with conductive materials within the same packaging that could lead to a short circuit.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Section IB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 xml:space="preserve">Lithium ion cells and batteries may be offered for transport provided that </w:t>
      </w:r>
      <w:r>
        <w:rPr>
          <w:rFonts w:ascii="Arial" w:hAnsi="Arial" w:cs="Arial"/>
          <w:sz w:val="20"/>
          <w:szCs w:val="20"/>
        </w:rPr>
        <w:t xml:space="preserve">each cell and battery meets the </w:t>
      </w:r>
      <w:r w:rsidRPr="00FE3168">
        <w:rPr>
          <w:rFonts w:ascii="Arial" w:hAnsi="Arial" w:cs="Arial"/>
          <w:sz w:val="20"/>
          <w:szCs w:val="20"/>
        </w:rPr>
        <w:t>provisions of 3.3.2(a) and (e), and they meet all of the following: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1. for lithium ion cells, the Watt-hour rating is not more than 20 Wh;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2. for lithium ion batteries, the Watt-hour rating is not more than 100 W</w:t>
      </w:r>
      <w:r>
        <w:rPr>
          <w:rFonts w:ascii="Arial" w:hAnsi="Arial" w:cs="Arial"/>
          <w:sz w:val="20"/>
          <w:szCs w:val="20"/>
        </w:rPr>
        <w:t xml:space="preserve">h. The Watt-hour rating must be </w:t>
      </w:r>
      <w:r w:rsidRPr="00FE3168">
        <w:rPr>
          <w:rFonts w:ascii="Arial" w:hAnsi="Arial" w:cs="Arial"/>
          <w:sz w:val="20"/>
          <w:szCs w:val="20"/>
        </w:rPr>
        <w:t>marked on the outside of the battery case except for those batterie</w:t>
      </w:r>
      <w:r>
        <w:rPr>
          <w:rFonts w:ascii="Arial" w:hAnsi="Arial" w:cs="Arial"/>
          <w:sz w:val="20"/>
          <w:szCs w:val="20"/>
        </w:rPr>
        <w:t xml:space="preserve">s manufactured before 1 January </w:t>
      </w:r>
      <w:r w:rsidRPr="00FE3168">
        <w:rPr>
          <w:rFonts w:ascii="Arial" w:hAnsi="Arial" w:cs="Arial"/>
          <w:sz w:val="20"/>
          <w:szCs w:val="20"/>
        </w:rPr>
        <w:t>2009; and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3. lithium ion cells and batteries must be offered for transport at a state of</w:t>
      </w:r>
      <w:r>
        <w:rPr>
          <w:rFonts w:ascii="Arial" w:hAnsi="Arial" w:cs="Arial"/>
          <w:sz w:val="20"/>
          <w:szCs w:val="20"/>
        </w:rPr>
        <w:t xml:space="preserve"> charge (SoC) not exceeding 30% </w:t>
      </w:r>
      <w:r w:rsidRPr="00FE3168">
        <w:rPr>
          <w:rFonts w:ascii="Arial" w:hAnsi="Arial" w:cs="Arial"/>
          <w:sz w:val="20"/>
          <w:szCs w:val="20"/>
        </w:rPr>
        <w:t>of their rated design capacity. Cells and/or batteries at a SoC of great</w:t>
      </w:r>
      <w:r>
        <w:rPr>
          <w:rFonts w:ascii="Arial" w:hAnsi="Arial" w:cs="Arial"/>
          <w:sz w:val="20"/>
          <w:szCs w:val="20"/>
        </w:rPr>
        <w:t xml:space="preserve">er than 30% may only be shipped </w:t>
      </w:r>
      <w:r w:rsidRPr="00FE3168">
        <w:rPr>
          <w:rFonts w:ascii="Arial" w:hAnsi="Arial" w:cs="Arial"/>
          <w:sz w:val="20"/>
          <w:szCs w:val="20"/>
        </w:rPr>
        <w:t>with the approval of the State of origin and the State of the operat</w:t>
      </w:r>
      <w:r>
        <w:rPr>
          <w:rFonts w:ascii="Arial" w:hAnsi="Arial" w:cs="Arial"/>
          <w:sz w:val="20"/>
          <w:szCs w:val="20"/>
        </w:rPr>
        <w:t xml:space="preserve">or under the written conditions </w:t>
      </w:r>
      <w:r w:rsidRPr="00FE3168">
        <w:rPr>
          <w:rFonts w:ascii="Arial" w:hAnsi="Arial" w:cs="Arial"/>
          <w:sz w:val="20"/>
          <w:szCs w:val="20"/>
        </w:rPr>
        <w:t>established by those authorities.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Note:</w:t>
      </w:r>
    </w:p>
    <w:p w:rsid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Guidance and methodology for determining the rated capacity can be foun</w:t>
      </w:r>
      <w:r>
        <w:rPr>
          <w:rFonts w:ascii="Arial" w:hAnsi="Arial" w:cs="Arial"/>
          <w:sz w:val="20"/>
          <w:szCs w:val="20"/>
        </w:rPr>
        <w:t xml:space="preserve">d in Section 38.3.2.3 of the UN </w:t>
      </w:r>
      <w:r w:rsidRPr="00FE3168">
        <w:rPr>
          <w:rFonts w:ascii="Arial" w:hAnsi="Arial" w:cs="Arial"/>
          <w:sz w:val="20"/>
          <w:szCs w:val="20"/>
        </w:rPr>
        <w:t>Manual of Tests and Criteria, 6th revised edition.</w:t>
      </w:r>
    </w:p>
    <w:p w:rsidR="00FE3168" w:rsidRDefault="00FE3168" w:rsidP="00FE31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FE3168">
        <w:rPr>
          <w:rFonts w:ascii="Arial" w:hAnsi="Arial" w:cs="Arial"/>
          <w:sz w:val="20"/>
          <w:szCs w:val="20"/>
        </w:rPr>
        <w:t>hese requirements apply to cells and batteries packed in quantities that exceed the allowance permitted in</w:t>
      </w:r>
      <w:r>
        <w:rPr>
          <w:rFonts w:ascii="Arial" w:hAnsi="Arial" w:cs="Arial"/>
          <w:sz w:val="20"/>
          <w:szCs w:val="20"/>
        </w:rPr>
        <w:t xml:space="preserve"> </w:t>
      </w:r>
      <w:r w:rsidRPr="00FE3168">
        <w:rPr>
          <w:rFonts w:ascii="Arial" w:hAnsi="Arial" w:cs="Arial"/>
          <w:sz w:val="20"/>
          <w:szCs w:val="20"/>
        </w:rPr>
        <w:t>Section II, Table 965-II.</w:t>
      </w:r>
      <w:r>
        <w:rPr>
          <w:rFonts w:ascii="Arial" w:hAnsi="Arial" w:cs="Arial"/>
          <w:sz w:val="20"/>
          <w:szCs w:val="20"/>
        </w:rPr>
        <w:t xml:space="preserve"> </w:t>
      </w:r>
    </w:p>
    <w:p w:rsid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lastRenderedPageBreak/>
        <w:t>Cells and batteries must be packed in strong rigid outer packagings that conform to 5.1.2.3, 5.1.2.5.1 and</w:t>
      </w:r>
      <w:r>
        <w:rPr>
          <w:rFonts w:ascii="Arial" w:hAnsi="Arial" w:cs="Arial"/>
          <w:sz w:val="20"/>
          <w:szCs w:val="20"/>
        </w:rPr>
        <w:t xml:space="preserve"> </w:t>
      </w:r>
      <w:r w:rsidRPr="00FE3168">
        <w:rPr>
          <w:rFonts w:ascii="Arial" w:hAnsi="Arial" w:cs="Arial"/>
          <w:sz w:val="20"/>
          <w:szCs w:val="20"/>
        </w:rPr>
        <w:t>5.1.2.8.1</w:t>
      </w:r>
      <w:r>
        <w:rPr>
          <w:rFonts w:ascii="Arial" w:hAnsi="Arial" w:cs="Arial"/>
          <w:sz w:val="20"/>
          <w:szCs w:val="20"/>
        </w:rPr>
        <w:t>.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Additional Requirements–Section IB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 xml:space="preserve">Cells and batteries must be packed in inner packagings that completely enclose </w:t>
      </w:r>
      <w:r>
        <w:rPr>
          <w:rFonts w:ascii="Arial" w:hAnsi="Arial" w:cs="Arial"/>
          <w:sz w:val="20"/>
          <w:szCs w:val="20"/>
        </w:rPr>
        <w:t xml:space="preserve">the cell or battery. To provide </w:t>
      </w:r>
      <w:r w:rsidRPr="00FE3168">
        <w:rPr>
          <w:rFonts w:ascii="Arial" w:hAnsi="Arial" w:cs="Arial"/>
          <w:sz w:val="20"/>
          <w:szCs w:val="20"/>
        </w:rPr>
        <w:t>protection from damage or compression to the batteries, the inner packagings m</w:t>
      </w:r>
      <w:r>
        <w:rPr>
          <w:rFonts w:ascii="Arial" w:hAnsi="Arial" w:cs="Arial"/>
          <w:sz w:val="20"/>
          <w:szCs w:val="20"/>
        </w:rPr>
        <w:t xml:space="preserve">ust be placed in a strong rigid </w:t>
      </w:r>
      <w:r w:rsidRPr="00FE3168">
        <w:rPr>
          <w:rFonts w:ascii="Arial" w:hAnsi="Arial" w:cs="Arial"/>
          <w:sz w:val="20"/>
          <w:szCs w:val="20"/>
        </w:rPr>
        <w:t>outer packaging of one of the packaging types shown below.</w:t>
      </w:r>
    </w:p>
    <w:p w:rsidR="00FE3168" w:rsidRPr="00FE3168" w:rsidRDefault="00FE3168" w:rsidP="00FE3168">
      <w:pPr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Each package must be capable of withstanding a 1.2 m drop test in any orientation without:</w:t>
      </w:r>
    </w:p>
    <w:p w:rsidR="00FE3168" w:rsidRPr="00FE3168" w:rsidRDefault="00FE3168" w:rsidP="00FE3168">
      <w:pPr>
        <w:ind w:firstLine="720"/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damage to cells or batteries contained therein;</w:t>
      </w:r>
    </w:p>
    <w:p w:rsidR="00FE3168" w:rsidRPr="00FE3168" w:rsidRDefault="00FE3168" w:rsidP="00FE3168">
      <w:pPr>
        <w:ind w:firstLine="720"/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shifting of the contents so as to allow battery to battery (or cell to cell) contact;</w:t>
      </w:r>
    </w:p>
    <w:p w:rsidR="00FE3168" w:rsidRDefault="00FE3168" w:rsidP="00FE3168">
      <w:pPr>
        <w:ind w:firstLine="720"/>
        <w:rPr>
          <w:rFonts w:ascii="Arial" w:hAnsi="Arial" w:cs="Arial"/>
          <w:sz w:val="20"/>
          <w:szCs w:val="20"/>
        </w:rPr>
      </w:pPr>
      <w:r w:rsidRPr="00FE3168">
        <w:rPr>
          <w:rFonts w:ascii="Arial" w:hAnsi="Arial" w:cs="Arial"/>
          <w:sz w:val="20"/>
          <w:szCs w:val="20"/>
        </w:rPr>
        <w:t>relea</w:t>
      </w:r>
      <w:bookmarkStart w:id="0" w:name="_GoBack"/>
      <w:bookmarkEnd w:id="0"/>
      <w:r w:rsidRPr="00FE3168">
        <w:rPr>
          <w:rFonts w:ascii="Arial" w:hAnsi="Arial" w:cs="Arial"/>
          <w:sz w:val="20"/>
          <w:szCs w:val="20"/>
        </w:rPr>
        <w:t>se of contents.</w:t>
      </w:r>
    </w:p>
    <w:p w:rsidR="003108CA" w:rsidRPr="005D5D31" w:rsidRDefault="003108CA" w:rsidP="003108C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refer to Table 965-IB</w:t>
      </w:r>
      <w:r>
        <w:rPr>
          <w:rFonts w:ascii="Arial" w:hAnsi="Arial" w:cs="Arial"/>
          <w:sz w:val="20"/>
          <w:szCs w:val="20"/>
        </w:rPr>
        <w:t xml:space="preserve"> for quantity Limits and Outer Packaging Instruction.</w:t>
      </w:r>
    </w:p>
    <w:p w:rsidR="003108CA" w:rsidRPr="005D5D31" w:rsidRDefault="003108CA" w:rsidP="003108CA">
      <w:pPr>
        <w:rPr>
          <w:rFonts w:ascii="Arial" w:hAnsi="Arial" w:cs="Arial"/>
          <w:sz w:val="20"/>
          <w:szCs w:val="20"/>
        </w:rPr>
      </w:pPr>
    </w:p>
    <w:sectPr w:rsidR="003108CA" w:rsidRPr="005D5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0C5"/>
    <w:rsid w:val="003108CA"/>
    <w:rsid w:val="004B3E06"/>
    <w:rsid w:val="005A78CB"/>
    <w:rsid w:val="005D5D31"/>
    <w:rsid w:val="006F10C5"/>
    <w:rsid w:val="00881B5F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8082E-0AFE-497F-9E51-E33D89EB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5</cp:revision>
  <dcterms:created xsi:type="dcterms:W3CDTF">2017-07-24T08:07:00Z</dcterms:created>
  <dcterms:modified xsi:type="dcterms:W3CDTF">2017-07-24T08:14:00Z</dcterms:modified>
</cp:coreProperties>
</file>