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Packing Instruction 966–II</w:t>
      </w:r>
    </w:p>
    <w:p w:rsidR="005436A1" w:rsidRPr="00111486" w:rsidRDefault="005436A1" w:rsidP="005436A1">
      <w:pPr>
        <w:rPr>
          <w:rFonts w:ascii="Arial" w:hAnsi="Arial" w:cs="Arial"/>
          <w:sz w:val="20"/>
          <w:szCs w:val="20"/>
        </w:rPr>
      </w:pPr>
      <w:r w:rsidRPr="00111486">
        <w:rPr>
          <w:rFonts w:ascii="Arial" w:hAnsi="Arial" w:cs="Arial"/>
          <w:sz w:val="20"/>
          <w:szCs w:val="20"/>
        </w:rPr>
        <w:t>Please refer to section 2.3.4 for operator variations</w:t>
      </w:r>
      <w:r>
        <w:rPr>
          <w:rFonts w:ascii="Arial" w:hAnsi="Arial" w:cs="Arial"/>
          <w:sz w:val="20"/>
          <w:szCs w:val="20"/>
        </w:rPr>
        <w:t>.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Introduction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This instruction applies where the equipment is packed with lithium ion ce</w:t>
      </w:r>
      <w:r>
        <w:rPr>
          <w:rFonts w:ascii="Arial" w:hAnsi="Arial" w:cs="Arial"/>
          <w:sz w:val="20"/>
          <w:szCs w:val="20"/>
        </w:rPr>
        <w:t xml:space="preserve">lls with a Watt-hour rating not </w:t>
      </w:r>
      <w:r w:rsidRPr="005436A1">
        <w:rPr>
          <w:rFonts w:ascii="Arial" w:hAnsi="Arial" w:cs="Arial"/>
          <w:sz w:val="20"/>
          <w:szCs w:val="20"/>
        </w:rPr>
        <w:t>exceeding 20 Wh or lithium ion batteries with a Watt-hour rating not exceeding 100 Wh.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 xml:space="preserve">For the purposes of this packing instruction “equipment” means the device or </w:t>
      </w:r>
      <w:r>
        <w:rPr>
          <w:rFonts w:ascii="Arial" w:hAnsi="Arial" w:cs="Arial"/>
          <w:sz w:val="20"/>
          <w:szCs w:val="20"/>
        </w:rPr>
        <w:t xml:space="preserve">apparatus for which the lithium </w:t>
      </w:r>
      <w:r w:rsidRPr="005436A1">
        <w:rPr>
          <w:rFonts w:ascii="Arial" w:hAnsi="Arial" w:cs="Arial"/>
          <w:sz w:val="20"/>
          <w:szCs w:val="20"/>
        </w:rPr>
        <w:t>cells or batteries will provide electrical power for its operation.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 xml:space="preserve">A single cell battery as defined in Part III, sub-section 38.3.2.3 of the UN </w:t>
      </w:r>
      <w:r>
        <w:rPr>
          <w:rFonts w:ascii="Arial" w:hAnsi="Arial" w:cs="Arial"/>
          <w:sz w:val="20"/>
          <w:szCs w:val="20"/>
        </w:rPr>
        <w:t xml:space="preserve">Manual of Tests and Criteria is </w:t>
      </w:r>
      <w:r w:rsidRPr="005436A1">
        <w:rPr>
          <w:rFonts w:ascii="Arial" w:hAnsi="Arial" w:cs="Arial"/>
          <w:sz w:val="20"/>
          <w:szCs w:val="20"/>
        </w:rPr>
        <w:t xml:space="preserve">considered a “cell” and must be transported according to the requirements for </w:t>
      </w:r>
      <w:r>
        <w:rPr>
          <w:rFonts w:ascii="Arial" w:hAnsi="Arial" w:cs="Arial"/>
          <w:sz w:val="20"/>
          <w:szCs w:val="20"/>
        </w:rPr>
        <w:t xml:space="preserve">“cells” for the purpose of this </w:t>
      </w:r>
      <w:r w:rsidRPr="005436A1">
        <w:rPr>
          <w:rFonts w:ascii="Arial" w:hAnsi="Arial" w:cs="Arial"/>
          <w:sz w:val="20"/>
          <w:szCs w:val="20"/>
        </w:rPr>
        <w:t>packing instruction.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 xml:space="preserve">Lithium ion cells and batteries meeting the requirements in this section are </w:t>
      </w:r>
      <w:r>
        <w:rPr>
          <w:rFonts w:ascii="Arial" w:hAnsi="Arial" w:cs="Arial"/>
          <w:sz w:val="20"/>
          <w:szCs w:val="20"/>
        </w:rPr>
        <w:t xml:space="preserve">not subject to other additional </w:t>
      </w:r>
      <w:r w:rsidRPr="005436A1">
        <w:rPr>
          <w:rFonts w:ascii="Arial" w:hAnsi="Arial" w:cs="Arial"/>
          <w:sz w:val="20"/>
          <w:szCs w:val="20"/>
        </w:rPr>
        <w:t>requirements of these Guidelines except for: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(a) dangerous goods in passenger and crew baggage (Subsection 2.2). Only</w:t>
      </w:r>
      <w:r>
        <w:rPr>
          <w:rFonts w:ascii="Arial" w:hAnsi="Arial" w:cs="Arial"/>
          <w:sz w:val="20"/>
          <w:szCs w:val="20"/>
        </w:rPr>
        <w:t xml:space="preserve"> those lithium ion batteries as </w:t>
      </w:r>
      <w:r w:rsidRPr="005436A1">
        <w:rPr>
          <w:rFonts w:ascii="Arial" w:hAnsi="Arial" w:cs="Arial"/>
          <w:sz w:val="20"/>
          <w:szCs w:val="20"/>
        </w:rPr>
        <w:t>specifically permitted may be carried in carry-on baggage;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(b) dangerous goods in air mail (Subsection 2.1.5);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(c) the marking and labelling requirements of 7.5;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(d) the documentation requirements of 8.4;</w:t>
      </w:r>
    </w:p>
    <w:p w:rsidR="00A11B59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(e) reporting of dangerous goods accidents, incidents and other occurrences (10.1.2).</w:t>
      </w:r>
    </w:p>
    <w:p w:rsidR="005436A1" w:rsidRDefault="005436A1" w:rsidP="005436A1">
      <w:pPr>
        <w:rPr>
          <w:rFonts w:ascii="Arial" w:hAnsi="Arial" w:cs="Arial"/>
          <w:sz w:val="20"/>
          <w:szCs w:val="20"/>
        </w:rPr>
      </w:pP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General Requirements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The following requirements apply to all lithium ion or lithium polymer cells and batteries: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(a) cells and batteries identified by the manufacturer as being defective for sa</w:t>
      </w:r>
      <w:r>
        <w:rPr>
          <w:rFonts w:ascii="Arial" w:hAnsi="Arial" w:cs="Arial"/>
          <w:sz w:val="20"/>
          <w:szCs w:val="20"/>
        </w:rPr>
        <w:t xml:space="preserve">fety reasons, or that have been </w:t>
      </w:r>
      <w:r w:rsidRPr="005436A1">
        <w:rPr>
          <w:rFonts w:ascii="Arial" w:hAnsi="Arial" w:cs="Arial"/>
          <w:sz w:val="20"/>
          <w:szCs w:val="20"/>
        </w:rPr>
        <w:t xml:space="preserve">damaged, that have the potential of producing a dangerous evolution of </w:t>
      </w:r>
      <w:r>
        <w:rPr>
          <w:rFonts w:ascii="Arial" w:hAnsi="Arial" w:cs="Arial"/>
          <w:sz w:val="20"/>
          <w:szCs w:val="20"/>
        </w:rPr>
        <w:t xml:space="preserve">heat, fire or short circuit are </w:t>
      </w:r>
      <w:r w:rsidRPr="005436A1">
        <w:rPr>
          <w:rFonts w:ascii="Arial" w:hAnsi="Arial" w:cs="Arial"/>
          <w:sz w:val="20"/>
          <w:szCs w:val="20"/>
        </w:rPr>
        <w:t>forbidden for transport (e.g. those being returned to the manufacturer for safety reasons);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(b) cells and batteries must be protected so as to prevent short circuits. This includes protecti</w:t>
      </w:r>
      <w:r>
        <w:rPr>
          <w:rFonts w:ascii="Arial" w:hAnsi="Arial" w:cs="Arial"/>
          <w:sz w:val="20"/>
          <w:szCs w:val="20"/>
        </w:rPr>
        <w:t xml:space="preserve">on against </w:t>
      </w:r>
      <w:r w:rsidRPr="005436A1">
        <w:rPr>
          <w:rFonts w:ascii="Arial" w:hAnsi="Arial" w:cs="Arial"/>
          <w:sz w:val="20"/>
          <w:szCs w:val="20"/>
        </w:rPr>
        <w:t>contact with conductive materials within the same packaging that could lead to a short circuit.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Section II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Cells and batteries offered for transport must meet the provisions of 3.3.2(a) and (e), the General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Requirements of this packing instruction and: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1. for cells, the Watt-hour rating is not more than 20 Wh; and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2. for batteries, Watt-hour rating is not more than 100 Wh. The Watt-ho</w:t>
      </w:r>
      <w:r>
        <w:rPr>
          <w:rFonts w:ascii="Arial" w:hAnsi="Arial" w:cs="Arial"/>
          <w:sz w:val="20"/>
          <w:szCs w:val="20"/>
        </w:rPr>
        <w:t xml:space="preserve">ur rating must be marked on the </w:t>
      </w:r>
      <w:r w:rsidRPr="005436A1">
        <w:rPr>
          <w:rFonts w:ascii="Arial" w:hAnsi="Arial" w:cs="Arial"/>
          <w:sz w:val="20"/>
          <w:szCs w:val="20"/>
        </w:rPr>
        <w:t>outside case except those manufactured before 1 January 2009;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Cells and batteries must be packed in strong rigid outer packagings that conform to 5.1.2.3, 5.1.2.5.1 and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5.1.2.8.1.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Additional Requirements–Section II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Cells and/or batteries must:</w:t>
      </w:r>
    </w:p>
    <w:p w:rsidR="005436A1" w:rsidRPr="005436A1" w:rsidRDefault="005436A1" w:rsidP="008F160E">
      <w:pPr>
        <w:ind w:firstLine="720"/>
        <w:rPr>
          <w:rFonts w:ascii="Arial" w:hAnsi="Arial" w:cs="Arial"/>
          <w:sz w:val="20"/>
          <w:szCs w:val="20"/>
        </w:rPr>
      </w:pPr>
      <w:proofErr w:type="gramStart"/>
      <w:r w:rsidRPr="005436A1">
        <w:rPr>
          <w:rFonts w:ascii="Arial" w:hAnsi="Arial" w:cs="Arial"/>
          <w:sz w:val="20"/>
          <w:szCs w:val="20"/>
        </w:rPr>
        <w:lastRenderedPageBreak/>
        <w:t>be</w:t>
      </w:r>
      <w:proofErr w:type="gramEnd"/>
      <w:r w:rsidRPr="005436A1">
        <w:rPr>
          <w:rFonts w:ascii="Arial" w:hAnsi="Arial" w:cs="Arial"/>
          <w:sz w:val="20"/>
          <w:szCs w:val="20"/>
        </w:rPr>
        <w:t xml:space="preserve"> completely enclosed in inner packagings then placed in a strong rigid outer packaging; or</w:t>
      </w:r>
    </w:p>
    <w:p w:rsidR="005436A1" w:rsidRPr="005436A1" w:rsidRDefault="005436A1" w:rsidP="008F160E">
      <w:pPr>
        <w:ind w:firstLine="720"/>
        <w:rPr>
          <w:rFonts w:ascii="Arial" w:hAnsi="Arial" w:cs="Arial"/>
          <w:sz w:val="20"/>
          <w:szCs w:val="20"/>
        </w:rPr>
      </w:pPr>
      <w:proofErr w:type="gramStart"/>
      <w:r w:rsidRPr="005436A1">
        <w:rPr>
          <w:rFonts w:ascii="Arial" w:hAnsi="Arial" w:cs="Arial"/>
          <w:sz w:val="20"/>
          <w:szCs w:val="20"/>
        </w:rPr>
        <w:t>be</w:t>
      </w:r>
      <w:proofErr w:type="gramEnd"/>
      <w:r w:rsidRPr="005436A1">
        <w:rPr>
          <w:rFonts w:ascii="Arial" w:hAnsi="Arial" w:cs="Arial"/>
          <w:sz w:val="20"/>
          <w:szCs w:val="20"/>
        </w:rPr>
        <w:t xml:space="preserve"> completely enclosed in inner packagings then placed with equipment in a strong rigid outer packaging.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The equipment must be secured against movement within the outer packagi</w:t>
      </w:r>
      <w:r>
        <w:rPr>
          <w:rFonts w:ascii="Arial" w:hAnsi="Arial" w:cs="Arial"/>
          <w:sz w:val="20"/>
          <w:szCs w:val="20"/>
        </w:rPr>
        <w:t xml:space="preserve">ng and must be equipped with an </w:t>
      </w:r>
      <w:r w:rsidRPr="005436A1">
        <w:rPr>
          <w:rFonts w:ascii="Arial" w:hAnsi="Arial" w:cs="Arial"/>
          <w:sz w:val="20"/>
          <w:szCs w:val="20"/>
        </w:rPr>
        <w:t>effective means of preventing accidental activation.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The number of cells or batteries in each package must not exceed</w:t>
      </w:r>
      <w:r>
        <w:rPr>
          <w:rFonts w:ascii="Arial" w:hAnsi="Arial" w:cs="Arial"/>
          <w:sz w:val="20"/>
          <w:szCs w:val="20"/>
        </w:rPr>
        <w:t xml:space="preserve"> the appropriate number for the </w:t>
      </w:r>
      <w:r w:rsidRPr="005436A1">
        <w:rPr>
          <w:rFonts w:ascii="Arial" w:hAnsi="Arial" w:cs="Arial"/>
          <w:sz w:val="20"/>
          <w:szCs w:val="20"/>
        </w:rPr>
        <w:t>equipment's operation, plus two spares.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Each package of cells or batteries, or the completed package must be capable of withstanding</w:t>
      </w:r>
      <w:r>
        <w:rPr>
          <w:rFonts w:ascii="Arial" w:hAnsi="Arial" w:cs="Arial"/>
          <w:sz w:val="20"/>
          <w:szCs w:val="20"/>
        </w:rPr>
        <w:t xml:space="preserve"> a 1.2 m drop </w:t>
      </w:r>
      <w:r w:rsidRPr="005436A1">
        <w:rPr>
          <w:rFonts w:ascii="Arial" w:hAnsi="Arial" w:cs="Arial"/>
          <w:sz w:val="20"/>
          <w:szCs w:val="20"/>
        </w:rPr>
        <w:t>test in any orientation without:</w:t>
      </w:r>
    </w:p>
    <w:p w:rsidR="005436A1" w:rsidRPr="005436A1" w:rsidRDefault="005436A1" w:rsidP="008F160E">
      <w:pPr>
        <w:ind w:firstLine="720"/>
        <w:rPr>
          <w:rFonts w:ascii="Arial" w:hAnsi="Arial" w:cs="Arial"/>
          <w:sz w:val="20"/>
          <w:szCs w:val="20"/>
        </w:rPr>
      </w:pPr>
      <w:proofErr w:type="gramStart"/>
      <w:r w:rsidRPr="005436A1">
        <w:rPr>
          <w:rFonts w:ascii="Arial" w:hAnsi="Arial" w:cs="Arial"/>
          <w:sz w:val="20"/>
          <w:szCs w:val="20"/>
        </w:rPr>
        <w:t>damage</w:t>
      </w:r>
      <w:proofErr w:type="gramEnd"/>
      <w:r w:rsidRPr="005436A1">
        <w:rPr>
          <w:rFonts w:ascii="Arial" w:hAnsi="Arial" w:cs="Arial"/>
          <w:sz w:val="20"/>
          <w:szCs w:val="20"/>
        </w:rPr>
        <w:t xml:space="preserve"> to cells or batteries contained therein;</w:t>
      </w:r>
    </w:p>
    <w:p w:rsidR="005436A1" w:rsidRPr="005436A1" w:rsidRDefault="005436A1" w:rsidP="008F160E">
      <w:pPr>
        <w:ind w:firstLine="720"/>
        <w:rPr>
          <w:rFonts w:ascii="Arial" w:hAnsi="Arial" w:cs="Arial"/>
          <w:sz w:val="20"/>
          <w:szCs w:val="20"/>
        </w:rPr>
      </w:pPr>
      <w:proofErr w:type="gramStart"/>
      <w:r w:rsidRPr="005436A1">
        <w:rPr>
          <w:rFonts w:ascii="Arial" w:hAnsi="Arial" w:cs="Arial"/>
          <w:sz w:val="20"/>
          <w:szCs w:val="20"/>
        </w:rPr>
        <w:t>shifting</w:t>
      </w:r>
      <w:proofErr w:type="gramEnd"/>
      <w:r w:rsidRPr="005436A1">
        <w:rPr>
          <w:rFonts w:ascii="Arial" w:hAnsi="Arial" w:cs="Arial"/>
          <w:sz w:val="20"/>
          <w:szCs w:val="20"/>
        </w:rPr>
        <w:t xml:space="preserve"> of the contents so as to allow battery to battery (or cell to cell) contact;</w:t>
      </w:r>
    </w:p>
    <w:p w:rsidR="005436A1" w:rsidRDefault="005436A1" w:rsidP="008F160E">
      <w:pPr>
        <w:ind w:firstLine="720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5436A1">
        <w:rPr>
          <w:rFonts w:ascii="Arial" w:hAnsi="Arial" w:cs="Arial"/>
          <w:sz w:val="20"/>
          <w:szCs w:val="20"/>
        </w:rPr>
        <w:t>release of contents.</w:t>
      </w:r>
    </w:p>
    <w:p w:rsidR="005436A1" w:rsidRDefault="005436A1" w:rsidP="005436A1">
      <w:pPr>
        <w:rPr>
          <w:rFonts w:ascii="Arial" w:hAnsi="Arial" w:cs="Arial"/>
          <w:sz w:val="20"/>
          <w:szCs w:val="20"/>
        </w:rPr>
      </w:pP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 xml:space="preserve">Where a package contains a combination of lithium batteries contained in </w:t>
      </w:r>
      <w:r>
        <w:rPr>
          <w:rFonts w:ascii="Arial" w:hAnsi="Arial" w:cs="Arial"/>
          <w:sz w:val="20"/>
          <w:szCs w:val="20"/>
        </w:rPr>
        <w:t xml:space="preserve">equipment and lithium batteries </w:t>
      </w:r>
      <w:r w:rsidRPr="005436A1">
        <w:rPr>
          <w:rFonts w:ascii="Arial" w:hAnsi="Arial" w:cs="Arial"/>
          <w:sz w:val="20"/>
          <w:szCs w:val="20"/>
        </w:rPr>
        <w:t>packed with equipment that meet the limits for lithium cells or batteries of Secti</w:t>
      </w:r>
      <w:r>
        <w:rPr>
          <w:rFonts w:ascii="Arial" w:hAnsi="Arial" w:cs="Arial"/>
          <w:sz w:val="20"/>
          <w:szCs w:val="20"/>
        </w:rPr>
        <w:t xml:space="preserve">on II, the following additional </w:t>
      </w:r>
      <w:r w:rsidRPr="005436A1">
        <w:rPr>
          <w:rFonts w:ascii="Arial" w:hAnsi="Arial" w:cs="Arial"/>
          <w:sz w:val="20"/>
          <w:szCs w:val="20"/>
        </w:rPr>
        <w:t>requirements apply: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– the shipper must ensure that all applicable parts of both packing instructio</w:t>
      </w:r>
      <w:r>
        <w:rPr>
          <w:rFonts w:ascii="Arial" w:hAnsi="Arial" w:cs="Arial"/>
          <w:sz w:val="20"/>
          <w:szCs w:val="20"/>
        </w:rPr>
        <w:t xml:space="preserve">ns are met. The total weight of </w:t>
      </w:r>
      <w:r w:rsidRPr="005436A1">
        <w:rPr>
          <w:rFonts w:ascii="Arial" w:hAnsi="Arial" w:cs="Arial"/>
          <w:sz w:val="20"/>
          <w:szCs w:val="20"/>
        </w:rPr>
        <w:t>lithium batteries contained in any package must not exceed 5 kg;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– the words “lithium ion batteries, in compliance with Section II of PI 966” mus</w:t>
      </w:r>
      <w:r>
        <w:rPr>
          <w:rFonts w:ascii="Arial" w:hAnsi="Arial" w:cs="Arial"/>
          <w:sz w:val="20"/>
          <w:szCs w:val="20"/>
        </w:rPr>
        <w:t xml:space="preserve">t be placed on the air waybill, </w:t>
      </w:r>
      <w:r w:rsidRPr="005436A1">
        <w:rPr>
          <w:rFonts w:ascii="Arial" w:hAnsi="Arial" w:cs="Arial"/>
          <w:sz w:val="20"/>
          <w:szCs w:val="20"/>
        </w:rPr>
        <w:t>when an air waybill is used.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Any person preparing or offering cells or batteries for transport must receiv</w:t>
      </w:r>
      <w:r>
        <w:rPr>
          <w:rFonts w:ascii="Arial" w:hAnsi="Arial" w:cs="Arial"/>
          <w:sz w:val="20"/>
          <w:szCs w:val="20"/>
        </w:rPr>
        <w:t xml:space="preserve">e adequate instruction on these </w:t>
      </w:r>
      <w:r w:rsidRPr="005436A1">
        <w:rPr>
          <w:rFonts w:ascii="Arial" w:hAnsi="Arial" w:cs="Arial"/>
          <w:sz w:val="20"/>
          <w:szCs w:val="20"/>
        </w:rPr>
        <w:t>requirements commensurate with their responsibilities. Information on adequ</w:t>
      </w:r>
      <w:r>
        <w:rPr>
          <w:rFonts w:ascii="Arial" w:hAnsi="Arial" w:cs="Arial"/>
          <w:sz w:val="20"/>
          <w:szCs w:val="20"/>
        </w:rPr>
        <w:t xml:space="preserve">ate instruction can be found in </w:t>
      </w:r>
      <w:r w:rsidRPr="005436A1">
        <w:rPr>
          <w:rFonts w:ascii="Arial" w:hAnsi="Arial" w:cs="Arial"/>
          <w:sz w:val="20"/>
          <w:szCs w:val="20"/>
        </w:rPr>
        <w:t>subsection 1.6.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Overpacks–Section II</w:t>
      </w:r>
    </w:p>
    <w:p w:rsidR="005436A1" w:rsidRDefault="005436A1" w:rsidP="005436A1">
      <w:pPr>
        <w:rPr>
          <w:rFonts w:ascii="Arial" w:hAnsi="Arial" w:cs="Arial"/>
          <w:sz w:val="20"/>
          <w:szCs w:val="20"/>
        </w:rPr>
      </w:pPr>
      <w:r w:rsidRPr="005436A1">
        <w:rPr>
          <w:rFonts w:ascii="Arial" w:hAnsi="Arial" w:cs="Arial"/>
          <w:sz w:val="20"/>
          <w:szCs w:val="20"/>
        </w:rPr>
        <w:t>Individual packages each complying with the requirements of Section II ma</w:t>
      </w:r>
      <w:r>
        <w:rPr>
          <w:rFonts w:ascii="Arial" w:hAnsi="Arial" w:cs="Arial"/>
          <w:sz w:val="20"/>
          <w:szCs w:val="20"/>
        </w:rPr>
        <w:t xml:space="preserve">y be placed in an overpack. The </w:t>
      </w:r>
      <w:r w:rsidRPr="005436A1">
        <w:rPr>
          <w:rFonts w:ascii="Arial" w:hAnsi="Arial" w:cs="Arial"/>
          <w:sz w:val="20"/>
          <w:szCs w:val="20"/>
        </w:rPr>
        <w:t>overpack may also contain packages of dangerous goods or goods not subje</w:t>
      </w:r>
      <w:r>
        <w:rPr>
          <w:rFonts w:ascii="Arial" w:hAnsi="Arial" w:cs="Arial"/>
          <w:sz w:val="20"/>
          <w:szCs w:val="20"/>
        </w:rPr>
        <w:t xml:space="preserve">ct to these Guidelines provided </w:t>
      </w:r>
      <w:r w:rsidRPr="005436A1">
        <w:rPr>
          <w:rFonts w:ascii="Arial" w:hAnsi="Arial" w:cs="Arial"/>
          <w:sz w:val="20"/>
          <w:szCs w:val="20"/>
        </w:rPr>
        <w:t xml:space="preserve">that there are no packages enclosing different substances which might react </w:t>
      </w:r>
      <w:r>
        <w:rPr>
          <w:rFonts w:ascii="Arial" w:hAnsi="Arial" w:cs="Arial"/>
          <w:sz w:val="20"/>
          <w:szCs w:val="20"/>
        </w:rPr>
        <w:t xml:space="preserve">dangerously with each other. An </w:t>
      </w:r>
      <w:r w:rsidRPr="005436A1">
        <w:rPr>
          <w:rFonts w:ascii="Arial" w:hAnsi="Arial" w:cs="Arial"/>
          <w:sz w:val="20"/>
          <w:szCs w:val="20"/>
        </w:rPr>
        <w:t>overpack must be marked with the word “Overpack” and durably and legibl</w:t>
      </w:r>
      <w:r>
        <w:rPr>
          <w:rFonts w:ascii="Arial" w:hAnsi="Arial" w:cs="Arial"/>
          <w:sz w:val="20"/>
          <w:szCs w:val="20"/>
        </w:rPr>
        <w:t xml:space="preserve">y marked with the mark shown in </w:t>
      </w:r>
      <w:r w:rsidRPr="005436A1">
        <w:rPr>
          <w:rFonts w:ascii="Arial" w:hAnsi="Arial" w:cs="Arial"/>
          <w:sz w:val="20"/>
          <w:szCs w:val="20"/>
        </w:rPr>
        <w:t>Figure 7.2.A, unless the mark(s) on the package(s) inside the overpack are visible.</w:t>
      </w:r>
    </w:p>
    <w:p w:rsidR="005436A1" w:rsidRPr="005436A1" w:rsidRDefault="005436A1" w:rsidP="005436A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refer to table 966-II for quantity limits and detail outer packaging instruction.</w:t>
      </w:r>
    </w:p>
    <w:sectPr w:rsidR="005436A1" w:rsidRPr="0054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A1"/>
    <w:rsid w:val="005436A1"/>
    <w:rsid w:val="008F160E"/>
    <w:rsid w:val="00A11B59"/>
    <w:rsid w:val="00A536DB"/>
    <w:rsid w:val="00D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FD2E3-5525-4985-B2FF-4AC47366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3</cp:revision>
  <dcterms:created xsi:type="dcterms:W3CDTF">2017-07-24T02:36:00Z</dcterms:created>
  <dcterms:modified xsi:type="dcterms:W3CDTF">2017-07-24T09:07:00Z</dcterms:modified>
</cp:coreProperties>
</file>