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Entre la neblina gris de la España del primer tercio del siglo XX, el afán de los intelectuales de la Edad de Plata por democratizar el conocimiento se encarna en una joven abulense. Su innata curiosidad la llevará a recorrer las aulas de la dorada Universidad de Salamanca y los entresijos culturales de Madrid, enfrentándose al solitario y todavía inaccesible mundo de las letras y las ciencias.</w:t>
      </w:r>
    </w:p>
    <w:p w:rsidR="00000000" w:rsidDel="00000000" w:rsidP="00000000" w:rsidRDefault="00000000" w:rsidRPr="00000000" w14:paraId="00000002">
      <w:pPr>
        <w:spacing w:after="240" w:before="240" w:lineRule="auto"/>
        <w:rPr/>
      </w:pPr>
      <w:r w:rsidDel="00000000" w:rsidR="00000000" w:rsidRPr="00000000">
        <w:rPr>
          <w:rtl w:val="0"/>
        </w:rPr>
        <w:t xml:space="preserve">Cincuenta años después, bajo la sombra latente de la dictadura, el destino une dos épocas, dos procesos de transformación social y a dos miembros de una misma familia. Dos historias distintas amparadas por un nexo común: la búsqueda incansable de su lugar en el mundo y el refugio bajo el tejado rojizo de una buhardilla en el popular barrio de Maravillas.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