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Nacida en Madrid un domingo de carnaval de 1990, convive con el impulso de jugar con las palabras desde que tiene memoria. Aunque se graduó en Derecho por la Universidad Carlos III de Madrid, pronto redirigió su mirada hacia la comunicación, el marketing y la publicidad, sectores donde desarrolló su carrera corporativa. Hoy, tras decidir cerrar esa etapa para volcarse por completo en su verdadera vocación, dedica su tiempo en exclusiva a la literatura; con una primera novela de gran envergadura ya terminada e inmersa en el circuito de certámenes, actualmente trabaja en la fase final de su segundo libro y prepara el mapa de ruta de sus próximos proyectos narrativos.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