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07" w:rsidRDefault="00722022" w:rsidP="00722022">
      <w:pPr>
        <w:jc w:val="both"/>
      </w:pPr>
      <w:r>
        <w:t>Esquema:</w:t>
      </w:r>
    </w:p>
    <w:p w:rsidR="00722022" w:rsidRDefault="00722022" w:rsidP="00722022">
      <w:pPr>
        <w:jc w:val="both"/>
      </w:pPr>
    </w:p>
    <w:p w:rsidR="00722022" w:rsidRDefault="00722022" w:rsidP="00722022">
      <w:pPr>
        <w:jc w:val="both"/>
      </w:pPr>
      <w:r>
        <w:t xml:space="preserve">1 – selecionar os campos abaixo indicados da tabela </w:t>
      </w:r>
      <w:proofErr w:type="spellStart"/>
      <w:r w:rsidRPr="00722022">
        <w:rPr>
          <w:color w:val="FF0000"/>
        </w:rPr>
        <w:t>siapro_processo_judicial</w:t>
      </w:r>
      <w:proofErr w:type="spellEnd"/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num_regist_judici</w:t>
      </w:r>
      <w:proofErr w:type="spellEnd"/>
      <w:proofErr w:type="gramEnd"/>
      <w:r>
        <w:t xml:space="preserve">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num_regist_judici_unico</w:t>
      </w:r>
      <w:proofErr w:type="spellEnd"/>
      <w:proofErr w:type="gramEnd"/>
      <w:r>
        <w:t xml:space="preserve">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cod_relato_judici</w:t>
      </w:r>
      <w:proofErr w:type="spellEnd"/>
      <w:proofErr w:type="gramEnd"/>
      <w:r>
        <w:t xml:space="preserve">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cod_orgao_respon_judici</w:t>
      </w:r>
      <w:proofErr w:type="spellEnd"/>
      <w:proofErr w:type="gramEnd"/>
      <w:r w:rsidRPr="00A66CB3">
        <w:rPr>
          <w:color w:val="FF0000"/>
        </w:rPr>
        <w:t xml:space="preserve">  </w:t>
      </w:r>
      <w:r>
        <w:t xml:space="preserve">(ver parâmetro),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dat_autuac_judic</w:t>
      </w:r>
      <w:r w:rsidR="008C7D8D" w:rsidRPr="00A66CB3">
        <w:rPr>
          <w:color w:val="FF0000"/>
        </w:rPr>
        <w:t>i</w:t>
      </w:r>
      <w:proofErr w:type="spellEnd"/>
      <w:proofErr w:type="gramEnd"/>
      <w:r w:rsidR="008C7D8D" w:rsidRPr="00A66CB3">
        <w:rPr>
          <w:color w:val="FF0000"/>
        </w:rPr>
        <w:t xml:space="preserve"> </w:t>
      </w:r>
      <w:r w:rsidR="008C7D8D">
        <w:t>(ver parâmetro)</w:t>
      </w:r>
      <w:r>
        <w:t xml:space="preserve">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sta_proces_judici</w:t>
      </w:r>
      <w:proofErr w:type="spellEnd"/>
      <w:proofErr w:type="gramEnd"/>
      <w:r>
        <w:t xml:space="preserve">, </w:t>
      </w:r>
    </w:p>
    <w:p w:rsidR="00722022" w:rsidRDefault="00722022" w:rsidP="00722022">
      <w:pPr>
        <w:jc w:val="both"/>
      </w:pPr>
      <w:proofErr w:type="spellStart"/>
      <w:proofErr w:type="gramStart"/>
      <w:r w:rsidRPr="00A66CB3">
        <w:rPr>
          <w:color w:val="FF0000"/>
        </w:rPr>
        <w:t>num_distri_judici</w:t>
      </w:r>
      <w:proofErr w:type="spellEnd"/>
      <w:proofErr w:type="gramEnd"/>
      <w:r>
        <w:t>, e</w:t>
      </w:r>
    </w:p>
    <w:p w:rsidR="00722022" w:rsidRDefault="00722022" w:rsidP="00722022">
      <w:pPr>
        <w:jc w:val="both"/>
      </w:pPr>
      <w:r w:rsidRPr="00A66CB3">
        <w:rPr>
          <w:color w:val="FF0000"/>
        </w:rPr>
        <w:t xml:space="preserve"> </w:t>
      </w:r>
      <w:proofErr w:type="spellStart"/>
      <w:proofErr w:type="gramStart"/>
      <w:r w:rsidRPr="00A66CB3">
        <w:rPr>
          <w:color w:val="FF0000"/>
        </w:rPr>
        <w:t>cod_assunt_compet_judici</w:t>
      </w:r>
      <w:proofErr w:type="spellEnd"/>
      <w:proofErr w:type="gramEnd"/>
      <w:r>
        <w:t>.</w:t>
      </w:r>
    </w:p>
    <w:p w:rsidR="00722022" w:rsidRDefault="00722022" w:rsidP="00722022">
      <w:pPr>
        <w:jc w:val="both"/>
      </w:pPr>
    </w:p>
    <w:p w:rsidR="00722022" w:rsidRDefault="00722022" w:rsidP="00722022">
      <w:pPr>
        <w:jc w:val="both"/>
      </w:pPr>
      <w:r>
        <w:t xml:space="preserve">2 – com base no campo </w:t>
      </w:r>
      <w:proofErr w:type="spellStart"/>
      <w:r w:rsidRPr="00722022">
        <w:rPr>
          <w:color w:val="FF0000"/>
        </w:rPr>
        <w:t>num_distri_judici</w:t>
      </w:r>
      <w:proofErr w:type="spellEnd"/>
      <w:r>
        <w:t xml:space="preserve">, da tabela </w:t>
      </w:r>
      <w:proofErr w:type="spellStart"/>
      <w:r w:rsidRPr="00722022">
        <w:rPr>
          <w:color w:val="FF0000"/>
        </w:rPr>
        <w:t>siapro_processo_judicial</w:t>
      </w:r>
      <w:proofErr w:type="spellEnd"/>
      <w:r>
        <w:t xml:space="preserve">, identificar a data da distribuição atual do processo (campo </w:t>
      </w:r>
      <w:proofErr w:type="spellStart"/>
      <w:r w:rsidRPr="00722022">
        <w:rPr>
          <w:color w:val="FF0000"/>
        </w:rPr>
        <w:t>dat_distri_judici</w:t>
      </w:r>
      <w:proofErr w:type="spellEnd"/>
      <w:r w:rsidRPr="00722022">
        <w:rPr>
          <w:color w:val="FF0000"/>
        </w:rPr>
        <w:t xml:space="preserve"> </w:t>
      </w:r>
      <w:r>
        <w:t xml:space="preserve">da tabela </w:t>
      </w:r>
      <w:proofErr w:type="spellStart"/>
      <w:r w:rsidRPr="00722022">
        <w:t>siapro_distribuicao_judicial</w:t>
      </w:r>
      <w:proofErr w:type="spellEnd"/>
      <w:r>
        <w:t>).</w:t>
      </w:r>
    </w:p>
    <w:p w:rsidR="00722022" w:rsidRDefault="00722022" w:rsidP="00722022">
      <w:pPr>
        <w:jc w:val="both"/>
      </w:pPr>
    </w:p>
    <w:p w:rsidR="008C7D8D" w:rsidRDefault="008C7D8D" w:rsidP="00722022">
      <w:pPr>
        <w:jc w:val="both"/>
      </w:pPr>
      <w:r>
        <w:t xml:space="preserve">3 – com base nos campos </w:t>
      </w:r>
      <w:proofErr w:type="spellStart"/>
      <w:r w:rsidRPr="008C7D8D">
        <w:rPr>
          <w:color w:val="FF0000"/>
        </w:rPr>
        <w:t>cod_relato_judici</w:t>
      </w:r>
      <w:proofErr w:type="spellEnd"/>
      <w:r w:rsidRPr="008C7D8D">
        <w:rPr>
          <w:color w:val="FF0000"/>
        </w:rPr>
        <w:t xml:space="preserve"> </w:t>
      </w:r>
      <w:r>
        <w:t xml:space="preserve">e </w:t>
      </w:r>
      <w:proofErr w:type="spellStart"/>
      <w:r w:rsidRPr="00722022">
        <w:rPr>
          <w:color w:val="FF0000"/>
        </w:rPr>
        <w:t>dat_distri_judici</w:t>
      </w:r>
      <w:proofErr w:type="spellEnd"/>
      <w:r>
        <w:t xml:space="preserve">, identificar o gabinete </w:t>
      </w:r>
      <w:r w:rsidR="00FB59BF">
        <w:t>nas tabelas de histórico conforme segue:</w:t>
      </w:r>
    </w:p>
    <w:p w:rsidR="00FB59BF" w:rsidRDefault="00FB59BF" w:rsidP="00FB59BF">
      <w:pPr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ab/>
      </w:r>
      <w:proofErr w:type="gramStart"/>
      <w:r>
        <w:t>3.1 – tabela</w:t>
      </w:r>
      <w:proofErr w:type="gramEnd"/>
      <w:r>
        <w:t xml:space="preserve"> </w:t>
      </w:r>
      <w:proofErr w:type="spellStart"/>
      <w:r w:rsidRPr="00FB59BF">
        <w:rPr>
          <w:rFonts w:ascii="Calibri" w:eastAsia="Times New Roman" w:hAnsi="Calibri" w:cs="Times New Roman"/>
          <w:bCs/>
          <w:color w:val="FF0000"/>
          <w:lang w:eastAsia="pt-BR"/>
        </w:rPr>
        <w:t>siapro_rel_magist_gabinete_judicial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, </w:t>
      </w:r>
    </w:p>
    <w:p w:rsidR="00FB59BF" w:rsidRDefault="00FB59BF" w:rsidP="00FB59BF">
      <w:pPr>
        <w:ind w:left="708" w:firstLine="708"/>
        <w:jc w:val="both"/>
      </w:pPr>
      <w:proofErr w:type="spellStart"/>
      <w:proofErr w:type="gramStart"/>
      <w:r w:rsidRPr="008C7D8D">
        <w:rPr>
          <w:color w:val="FF0000"/>
        </w:rPr>
        <w:t>cod_relato_judici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 w:rsidRPr="00FB59BF">
        <w:rPr>
          <w:color w:val="FF0000"/>
        </w:rPr>
        <w:t>cod_magist</w:t>
      </w:r>
      <w:proofErr w:type="spellEnd"/>
      <w:r>
        <w:rPr>
          <w:color w:val="FF0000"/>
        </w:rPr>
        <w:t xml:space="preserve"> </w:t>
      </w:r>
      <w:r>
        <w:t xml:space="preserve">e </w:t>
      </w:r>
    </w:p>
    <w:p w:rsidR="00FB59BF" w:rsidRDefault="00FB59BF" w:rsidP="00FB59BF">
      <w:pPr>
        <w:ind w:left="708" w:firstLine="708"/>
        <w:jc w:val="both"/>
        <w:rPr>
          <w:color w:val="FF0000"/>
        </w:rPr>
      </w:pPr>
      <w:proofErr w:type="spellStart"/>
      <w:proofErr w:type="gramStart"/>
      <w:r w:rsidRPr="00FB59BF">
        <w:rPr>
          <w:rFonts w:ascii="Calibri" w:eastAsia="Times New Roman" w:hAnsi="Calibri" w:cs="Times New Roman"/>
          <w:bCs/>
          <w:color w:val="FF0000"/>
          <w:lang w:eastAsia="pt-BR"/>
        </w:rPr>
        <w:t>dat_inicio_ativid_judici</w:t>
      </w:r>
      <w:proofErr w:type="spellEnd"/>
      <w:proofErr w:type="gramEnd"/>
      <w:r w:rsidRPr="00FB59BF">
        <w:rPr>
          <w:rFonts w:ascii="Calibri" w:eastAsia="Times New Roman" w:hAnsi="Calibri" w:cs="Times New Roman"/>
          <w:bCs/>
          <w:color w:val="FF000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pt-BR"/>
        </w:rPr>
        <w:t xml:space="preserve">&lt; </w:t>
      </w:r>
      <w:proofErr w:type="spellStart"/>
      <w:r w:rsidRPr="00722022">
        <w:rPr>
          <w:color w:val="FF0000"/>
        </w:rPr>
        <w:t>dat_distri_judici</w:t>
      </w:r>
      <w:proofErr w:type="spellEnd"/>
      <w:r>
        <w:rPr>
          <w:color w:val="FF0000"/>
        </w:rPr>
        <w:t xml:space="preserve"> </w:t>
      </w:r>
      <w:r w:rsidRPr="00FB59BF">
        <w:t>&lt;</w:t>
      </w:r>
      <w:r>
        <w:rPr>
          <w:color w:val="FF0000"/>
        </w:rPr>
        <w:t xml:space="preserve"> </w:t>
      </w:r>
      <w:proofErr w:type="spellStart"/>
      <w:r w:rsidRPr="00FB59BF">
        <w:rPr>
          <w:color w:val="FF0000"/>
        </w:rPr>
        <w:t>dat_termin_ativid_judici</w:t>
      </w:r>
      <w:proofErr w:type="spellEnd"/>
      <w:r w:rsidR="008C6813" w:rsidRPr="008C6813">
        <w:t>.</w:t>
      </w:r>
    </w:p>
    <w:p w:rsidR="00FB59BF" w:rsidRDefault="00FB59BF" w:rsidP="00FB59BF">
      <w:pPr>
        <w:jc w:val="both"/>
        <w:rPr>
          <w:color w:val="FF0000"/>
        </w:rPr>
      </w:pPr>
    </w:p>
    <w:p w:rsidR="00FB59BF" w:rsidRDefault="00FB59BF" w:rsidP="00FB59BF">
      <w:pPr>
        <w:ind w:firstLine="708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proofErr w:type="gramStart"/>
      <w:r>
        <w:t>3.</w:t>
      </w:r>
      <w:r>
        <w:t>2</w:t>
      </w:r>
      <w:r>
        <w:t xml:space="preserve"> – tabela</w:t>
      </w:r>
      <w:proofErr w:type="gramEnd"/>
      <w:r>
        <w:t xml:space="preserve"> </w:t>
      </w:r>
      <w:proofErr w:type="spellStart"/>
      <w:r w:rsidR="00A66CB3" w:rsidRPr="00A66CB3">
        <w:rPr>
          <w:rFonts w:ascii="Calibri" w:eastAsia="Times New Roman" w:hAnsi="Calibri" w:cs="Times New Roman"/>
          <w:bCs/>
          <w:color w:val="FF0000"/>
          <w:lang w:eastAsia="pt-BR"/>
        </w:rPr>
        <w:t>siapro_magistrado_orgao_especial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, </w:t>
      </w:r>
    </w:p>
    <w:p w:rsidR="00A66CB3" w:rsidRDefault="00A66CB3" w:rsidP="00FB59BF">
      <w:pPr>
        <w:ind w:firstLine="708"/>
        <w:jc w:val="both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ab/>
      </w:r>
      <w:proofErr w:type="spellStart"/>
      <w:proofErr w:type="gramStart"/>
      <w:r w:rsidRPr="00A66CB3">
        <w:rPr>
          <w:color w:val="FF0000"/>
        </w:rPr>
        <w:t>cod_orgao_respon_judici</w:t>
      </w:r>
      <w:proofErr w:type="spellEnd"/>
      <w:proofErr w:type="gramEnd"/>
      <w:r w:rsidRPr="00A66CB3">
        <w:rPr>
          <w:color w:val="FF0000"/>
        </w:rPr>
        <w:t xml:space="preserve"> = SP01J1000</w:t>
      </w:r>
      <w:r>
        <w:rPr>
          <w:color w:val="FF0000"/>
        </w:rPr>
        <w:t xml:space="preserve"> </w:t>
      </w:r>
      <w:r w:rsidRPr="00A66CB3">
        <w:t>e</w:t>
      </w:r>
    </w:p>
    <w:p w:rsidR="00FB59BF" w:rsidRDefault="00FB59BF" w:rsidP="00FB59BF">
      <w:pPr>
        <w:ind w:left="708" w:firstLine="708"/>
        <w:jc w:val="both"/>
      </w:pPr>
      <w:proofErr w:type="spellStart"/>
      <w:proofErr w:type="gramStart"/>
      <w:r w:rsidRPr="008C7D8D">
        <w:rPr>
          <w:color w:val="FF0000"/>
        </w:rPr>
        <w:t>cod_relato_judici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 w:rsidR="00A66CB3" w:rsidRPr="00A66CB3">
        <w:rPr>
          <w:color w:val="FF0000"/>
        </w:rPr>
        <w:t>cod_magist_sucedi</w:t>
      </w:r>
      <w:proofErr w:type="spellEnd"/>
      <w:r>
        <w:rPr>
          <w:color w:val="FF0000"/>
        </w:rPr>
        <w:t xml:space="preserve"> </w:t>
      </w:r>
      <w:r>
        <w:t xml:space="preserve">e </w:t>
      </w:r>
    </w:p>
    <w:p w:rsidR="00FB59BF" w:rsidRDefault="00A66CB3" w:rsidP="00FB59BF">
      <w:pPr>
        <w:ind w:left="708" w:firstLine="708"/>
        <w:jc w:val="both"/>
        <w:rPr>
          <w:color w:val="FF0000"/>
        </w:rPr>
      </w:pPr>
      <w:proofErr w:type="spellStart"/>
      <w:proofErr w:type="gramStart"/>
      <w:r w:rsidRPr="00A66CB3">
        <w:rPr>
          <w:rFonts w:ascii="Calibri" w:eastAsia="Times New Roman" w:hAnsi="Calibri" w:cs="Times New Roman"/>
          <w:bCs/>
          <w:color w:val="FF0000"/>
          <w:lang w:eastAsia="pt-BR"/>
        </w:rPr>
        <w:t>dat_inicio_orgao</w:t>
      </w:r>
      <w:proofErr w:type="spellEnd"/>
      <w:proofErr w:type="gramEnd"/>
      <w:r w:rsidRPr="00A66CB3">
        <w:rPr>
          <w:rFonts w:ascii="Calibri" w:eastAsia="Times New Roman" w:hAnsi="Calibri" w:cs="Times New Roman"/>
          <w:bCs/>
          <w:color w:val="FF0000"/>
          <w:lang w:eastAsia="pt-BR"/>
        </w:rPr>
        <w:t xml:space="preserve"> </w:t>
      </w:r>
      <w:r w:rsidR="00FB59BF">
        <w:rPr>
          <w:rFonts w:ascii="Calibri" w:eastAsia="Times New Roman" w:hAnsi="Calibri" w:cs="Times New Roman"/>
          <w:b/>
          <w:bCs/>
          <w:lang w:eastAsia="pt-BR"/>
        </w:rPr>
        <w:t xml:space="preserve">&lt; </w:t>
      </w:r>
      <w:proofErr w:type="spellStart"/>
      <w:r w:rsidR="00FB59BF" w:rsidRPr="00722022">
        <w:rPr>
          <w:color w:val="FF0000"/>
        </w:rPr>
        <w:t>dat_distri_judici</w:t>
      </w:r>
      <w:proofErr w:type="spellEnd"/>
      <w:r w:rsidR="00FB59BF">
        <w:rPr>
          <w:color w:val="FF0000"/>
        </w:rPr>
        <w:t xml:space="preserve"> </w:t>
      </w:r>
      <w:r w:rsidR="00FB59BF" w:rsidRPr="00FB59BF">
        <w:t>&lt;</w:t>
      </w:r>
      <w:r w:rsidR="00FB59BF">
        <w:rPr>
          <w:color w:val="FF0000"/>
        </w:rPr>
        <w:t xml:space="preserve"> </w:t>
      </w:r>
      <w:proofErr w:type="spellStart"/>
      <w:r w:rsidRPr="00A66CB3">
        <w:rPr>
          <w:color w:val="FF0000"/>
        </w:rPr>
        <w:t>dat_termin_orgao</w:t>
      </w:r>
      <w:proofErr w:type="spellEnd"/>
      <w:r w:rsidR="008C6813" w:rsidRPr="008C6813">
        <w:t>.</w:t>
      </w:r>
    </w:p>
    <w:p w:rsidR="00FB59BF" w:rsidRDefault="00FB59BF" w:rsidP="00FB59BF">
      <w:pPr>
        <w:jc w:val="both"/>
        <w:rPr>
          <w:color w:val="FF0000"/>
        </w:rPr>
      </w:pPr>
    </w:p>
    <w:p w:rsidR="00A66CB3" w:rsidRDefault="00A66CB3" w:rsidP="00FB59BF">
      <w:pPr>
        <w:jc w:val="both"/>
      </w:pPr>
    </w:p>
    <w:p w:rsidR="00A66CB3" w:rsidRDefault="00A66CB3" w:rsidP="00FB59BF">
      <w:pPr>
        <w:jc w:val="both"/>
      </w:pPr>
    </w:p>
    <w:p w:rsidR="00A66CB3" w:rsidRDefault="00A66CB3" w:rsidP="00FB59BF">
      <w:pPr>
        <w:jc w:val="both"/>
      </w:pPr>
      <w:r w:rsidRPr="00A66CB3">
        <w:lastRenderedPageBreak/>
        <w:t>4</w:t>
      </w:r>
      <w:r>
        <w:rPr>
          <w:color w:val="FF0000"/>
        </w:rPr>
        <w:t xml:space="preserve"> </w:t>
      </w:r>
      <w:r>
        <w:t xml:space="preserve">– com base na tabela </w:t>
      </w:r>
      <w:proofErr w:type="spellStart"/>
      <w:r w:rsidRPr="00A66CB3">
        <w:rPr>
          <w:color w:val="FF0000"/>
        </w:rPr>
        <w:t>siapro_hist_proc_orgao_processante</w:t>
      </w:r>
      <w:proofErr w:type="spellEnd"/>
      <w:r>
        <w:t>, identificar todos os processos</w:t>
      </w:r>
      <w:r w:rsidR="008C6813">
        <w:t xml:space="preserve"> que atendam a condição abaixo e definir o gabinete = </w:t>
      </w:r>
      <w:r w:rsidR="008C6813" w:rsidRPr="008C6813">
        <w:t>SP01G9000</w:t>
      </w:r>
      <w:r>
        <w:t xml:space="preserve">: </w:t>
      </w:r>
    </w:p>
    <w:p w:rsidR="00A66CB3" w:rsidRDefault="00A66CB3" w:rsidP="00A66CB3">
      <w:pPr>
        <w:ind w:firstLine="708"/>
        <w:jc w:val="both"/>
        <w:rPr>
          <w:lang w:val="en-US"/>
        </w:rPr>
      </w:pPr>
      <w:proofErr w:type="spellStart"/>
      <w:r w:rsidRPr="00A66CB3">
        <w:rPr>
          <w:color w:val="FF0000"/>
          <w:lang w:val="en-US"/>
        </w:rPr>
        <w:t>cod_orgao_secret_respon_judici</w:t>
      </w:r>
      <w:proofErr w:type="spellEnd"/>
      <w:r w:rsidRPr="00A66CB3"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r w:rsidRPr="00A66CB3">
        <w:rPr>
          <w:color w:val="FF0000"/>
          <w:lang w:val="en-US"/>
        </w:rPr>
        <w:t>SP01P3000</w:t>
      </w:r>
      <w:r>
        <w:rPr>
          <w:lang w:val="en-US"/>
        </w:rPr>
        <w:t xml:space="preserve"> e</w:t>
      </w:r>
    </w:p>
    <w:p w:rsidR="00A66CB3" w:rsidRDefault="00A66CB3" w:rsidP="00A66CB3">
      <w:pPr>
        <w:ind w:firstLine="708"/>
        <w:jc w:val="both"/>
        <w:rPr>
          <w:lang w:val="en-US"/>
        </w:rPr>
      </w:pPr>
      <w:proofErr w:type="spellStart"/>
      <w:r w:rsidRPr="00A66CB3">
        <w:rPr>
          <w:color w:val="FF0000"/>
          <w:lang w:val="en-US"/>
        </w:rPr>
        <w:t>dat_final_secret_respon_judici</w:t>
      </w:r>
      <w:proofErr w:type="spellEnd"/>
      <w:r w:rsidRPr="00A66CB3"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 w:rsidRPr="00A66CB3">
        <w:rPr>
          <w:color w:val="FF0000"/>
          <w:lang w:val="en-US"/>
        </w:rPr>
        <w:t>nulo</w:t>
      </w:r>
      <w:proofErr w:type="spellEnd"/>
      <w:r w:rsidR="008C6813" w:rsidRPr="008C6813">
        <w:rPr>
          <w:lang w:val="en-US"/>
        </w:rPr>
        <w:t>.</w:t>
      </w:r>
    </w:p>
    <w:p w:rsidR="008C6813" w:rsidRDefault="008C6813" w:rsidP="008C6813">
      <w:pPr>
        <w:jc w:val="both"/>
      </w:pPr>
    </w:p>
    <w:p w:rsidR="008C6813" w:rsidRDefault="008C6813" w:rsidP="008C6813">
      <w:pPr>
        <w:jc w:val="both"/>
        <w:rPr>
          <w:rFonts w:ascii="Calibri" w:eastAsia="Times New Roman" w:hAnsi="Calibri" w:cs="Times New Roman"/>
          <w:bCs/>
          <w:lang w:eastAsia="pt-BR"/>
        </w:rPr>
      </w:pPr>
      <w:r w:rsidRPr="008C6813">
        <w:t xml:space="preserve">5 – </w:t>
      </w:r>
      <w:proofErr w:type="spellStart"/>
      <w:r w:rsidRPr="008C6813">
        <w:t>utlizar</w:t>
      </w:r>
      <w:proofErr w:type="spellEnd"/>
      <w:r w:rsidRPr="008C6813">
        <w:t xml:space="preserve"> apenas os gabinetes listados na tabela </w:t>
      </w:r>
      <w:proofErr w:type="spellStart"/>
      <w:r w:rsidRPr="008C6813">
        <w:rPr>
          <w:rFonts w:ascii="Calibri" w:eastAsia="Times New Roman" w:hAnsi="Calibri" w:cs="Times New Roman"/>
          <w:bCs/>
          <w:color w:val="FF0000"/>
          <w:lang w:eastAsia="pt-BR"/>
        </w:rPr>
        <w:t>tb_apoio_gabinetes</w:t>
      </w:r>
      <w:proofErr w:type="spellEnd"/>
      <w:r>
        <w:rPr>
          <w:rFonts w:ascii="Calibri" w:eastAsia="Times New Roman" w:hAnsi="Calibri" w:cs="Times New Roman"/>
          <w:bCs/>
          <w:lang w:eastAsia="pt-BR"/>
        </w:rPr>
        <w:t>.</w:t>
      </w:r>
    </w:p>
    <w:p w:rsidR="008C6813" w:rsidRDefault="008C6813" w:rsidP="008C6813">
      <w:pPr>
        <w:jc w:val="both"/>
        <w:rPr>
          <w:rFonts w:ascii="Calibri" w:eastAsia="Times New Roman" w:hAnsi="Calibri" w:cs="Times New Roman"/>
          <w:bCs/>
          <w:lang w:eastAsia="pt-BR"/>
        </w:rPr>
      </w:pPr>
    </w:p>
    <w:p w:rsidR="008C6813" w:rsidRDefault="008C6813" w:rsidP="008C6813">
      <w:pPr>
        <w:jc w:val="both"/>
        <w:rPr>
          <w:rFonts w:ascii="Calibri" w:eastAsia="Times New Roman" w:hAnsi="Calibri" w:cs="Times New Roman"/>
          <w:lang w:eastAsia="pt-BR"/>
        </w:rPr>
      </w:pPr>
      <w:r>
        <w:rPr>
          <w:rFonts w:ascii="Calibri" w:eastAsia="Times New Roman" w:hAnsi="Calibri" w:cs="Times New Roman"/>
          <w:bCs/>
          <w:lang w:eastAsia="pt-BR"/>
        </w:rPr>
        <w:t xml:space="preserve">6 – definir como órgão julgador = </w:t>
      </w:r>
      <w:r w:rsidRPr="008C6813">
        <w:rPr>
          <w:rFonts w:ascii="Calibri" w:eastAsia="Times New Roman" w:hAnsi="Calibri" w:cs="Times New Roman"/>
          <w:color w:val="FF0000"/>
          <w:lang w:eastAsia="pt-BR"/>
        </w:rPr>
        <w:t>Tribunal (dados 2 grau)</w:t>
      </w:r>
      <w:r>
        <w:rPr>
          <w:rFonts w:ascii="Calibri" w:eastAsia="Times New Roman" w:hAnsi="Calibri" w:cs="Times New Roman"/>
          <w:lang w:eastAsia="pt-BR"/>
        </w:rPr>
        <w:t>.</w:t>
      </w:r>
    </w:p>
    <w:p w:rsidR="008C6813" w:rsidRDefault="008C6813" w:rsidP="008C6813">
      <w:pPr>
        <w:jc w:val="both"/>
        <w:rPr>
          <w:rFonts w:ascii="Calibri" w:eastAsia="Times New Roman" w:hAnsi="Calibri" w:cs="Times New Roman"/>
          <w:lang w:eastAsia="pt-BR"/>
        </w:rPr>
      </w:pPr>
    </w:p>
    <w:p w:rsidR="008C6813" w:rsidRDefault="008C6813" w:rsidP="008C6813">
      <w:pPr>
        <w:jc w:val="both"/>
        <w:rPr>
          <w:rFonts w:ascii="Calibri" w:eastAsia="Times New Roman" w:hAnsi="Calibri" w:cs="Times New Roman"/>
          <w:lang w:eastAsia="pt-BR"/>
        </w:rPr>
      </w:pPr>
      <w:r>
        <w:rPr>
          <w:rFonts w:ascii="Calibri" w:eastAsia="Times New Roman" w:hAnsi="Calibri" w:cs="Times New Roman"/>
          <w:lang w:eastAsia="pt-BR"/>
        </w:rPr>
        <w:t>7 – gerar base com os descritivos.</w:t>
      </w:r>
      <w:bookmarkStart w:id="0" w:name="_GoBack"/>
      <w:bookmarkEnd w:id="0"/>
    </w:p>
    <w:p w:rsidR="008C6813" w:rsidRDefault="008C6813" w:rsidP="008C6813">
      <w:pPr>
        <w:jc w:val="both"/>
        <w:rPr>
          <w:rFonts w:ascii="Calibri" w:eastAsia="Times New Roman" w:hAnsi="Calibri" w:cs="Times New Roman"/>
          <w:lang w:eastAsia="pt-BR"/>
        </w:rPr>
      </w:pPr>
    </w:p>
    <w:p w:rsidR="008C6813" w:rsidRPr="008C6813" w:rsidRDefault="008C6813" w:rsidP="008C6813">
      <w:pPr>
        <w:jc w:val="both"/>
        <w:rPr>
          <w:rFonts w:ascii="Calibri" w:eastAsia="Times New Roman" w:hAnsi="Calibri" w:cs="Times New Roman"/>
          <w:lang w:eastAsia="pt-BR"/>
        </w:rPr>
      </w:pPr>
    </w:p>
    <w:p w:rsidR="008C6813" w:rsidRDefault="008C6813" w:rsidP="008C6813">
      <w:pPr>
        <w:jc w:val="both"/>
        <w:rPr>
          <w:rFonts w:ascii="Calibri" w:eastAsia="Times New Roman" w:hAnsi="Calibri" w:cs="Times New Roman"/>
          <w:bCs/>
          <w:lang w:eastAsia="pt-BR"/>
        </w:rPr>
      </w:pPr>
    </w:p>
    <w:p w:rsidR="008C6813" w:rsidRDefault="008C6813" w:rsidP="008C6813">
      <w:pPr>
        <w:jc w:val="both"/>
        <w:rPr>
          <w:rFonts w:ascii="Calibri" w:eastAsia="Times New Roman" w:hAnsi="Calibri" w:cs="Times New Roman"/>
          <w:bCs/>
          <w:lang w:eastAsia="pt-BR"/>
        </w:rPr>
      </w:pPr>
    </w:p>
    <w:p w:rsidR="008C6813" w:rsidRPr="008C6813" w:rsidRDefault="008C6813" w:rsidP="008C6813">
      <w:pPr>
        <w:jc w:val="both"/>
        <w:rPr>
          <w:rFonts w:ascii="Calibri" w:eastAsia="Times New Roman" w:hAnsi="Calibri" w:cs="Times New Roman"/>
          <w:b/>
          <w:bCs/>
          <w:lang w:eastAsia="pt-BR"/>
        </w:rPr>
      </w:pPr>
    </w:p>
    <w:p w:rsidR="008C6813" w:rsidRPr="008C6813" w:rsidRDefault="008C6813" w:rsidP="008C6813">
      <w:pPr>
        <w:jc w:val="both"/>
      </w:pPr>
    </w:p>
    <w:p w:rsidR="00FB59BF" w:rsidRPr="008C6813" w:rsidRDefault="00FB59BF" w:rsidP="00FB59BF">
      <w:pPr>
        <w:ind w:left="708" w:firstLine="708"/>
        <w:jc w:val="both"/>
        <w:rPr>
          <w:rFonts w:ascii="Calibri" w:eastAsia="Times New Roman" w:hAnsi="Calibri" w:cs="Times New Roman"/>
          <w:b/>
          <w:bCs/>
          <w:lang w:eastAsia="pt-BR"/>
        </w:rPr>
      </w:pPr>
    </w:p>
    <w:p w:rsidR="00FB59BF" w:rsidRPr="008C6813" w:rsidRDefault="00FB59BF" w:rsidP="00FB59BF">
      <w:pPr>
        <w:ind w:left="708" w:firstLine="708"/>
        <w:jc w:val="both"/>
        <w:rPr>
          <w:rFonts w:ascii="Calibri" w:eastAsia="Times New Roman" w:hAnsi="Calibri" w:cs="Times New Roman"/>
          <w:b/>
          <w:bCs/>
          <w:lang w:eastAsia="pt-BR"/>
        </w:rPr>
      </w:pPr>
    </w:p>
    <w:p w:rsidR="00FB59BF" w:rsidRPr="008C6813" w:rsidRDefault="00FB59BF" w:rsidP="00FB59BF">
      <w:pPr>
        <w:ind w:left="708" w:firstLine="708"/>
        <w:jc w:val="both"/>
        <w:rPr>
          <w:rFonts w:ascii="Calibri" w:eastAsia="Times New Roman" w:hAnsi="Calibri" w:cs="Times New Roman"/>
          <w:b/>
          <w:bCs/>
          <w:lang w:eastAsia="pt-BR"/>
        </w:rPr>
      </w:pPr>
    </w:p>
    <w:p w:rsidR="00FB59BF" w:rsidRPr="008C6813" w:rsidRDefault="00FB59BF" w:rsidP="00722022">
      <w:pPr>
        <w:jc w:val="both"/>
      </w:pPr>
    </w:p>
    <w:p w:rsidR="00722022" w:rsidRPr="008C6813" w:rsidRDefault="00722022" w:rsidP="00722022">
      <w:pPr>
        <w:jc w:val="both"/>
      </w:pPr>
    </w:p>
    <w:sectPr w:rsidR="00722022" w:rsidRPr="008C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B0"/>
    <w:rsid w:val="00722022"/>
    <w:rsid w:val="008C6813"/>
    <w:rsid w:val="008C7D8D"/>
    <w:rsid w:val="00A66CB3"/>
    <w:rsid w:val="00AE11B0"/>
    <w:rsid w:val="00DD2D07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2016-11-14T02:51:00Z</dcterms:created>
  <dcterms:modified xsi:type="dcterms:W3CDTF">2016-11-14T03:50:00Z</dcterms:modified>
</cp:coreProperties>
</file>