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779C" w14:textId="0CB38F02" w:rsidR="00C13B3E" w:rsidRDefault="00C13B3E" w:rsidP="00C13B3E">
      <w:r>
        <w:t>States that depend on a powerful patron for their security do not always have the luxury</w:t>
      </w:r>
      <w:r>
        <w:t xml:space="preserve"> </w:t>
      </w:r>
      <w:r>
        <w:t>of saying what they think. Formal diplomatic channels—UN votes, official statements, public</w:t>
      </w:r>
      <w:r>
        <w:t xml:space="preserve"> </w:t>
      </w:r>
      <w:r>
        <w:t>breaks—become liabilities when they risk retaliation from the very power that guarantees</w:t>
      </w:r>
      <w:r>
        <w:t xml:space="preserve"> </w:t>
      </w:r>
      <w:r>
        <w:t>a state’s survival. Yet silence risks being seen as endorsement. This dilemma arises in any</w:t>
      </w:r>
      <w:r>
        <w:t xml:space="preserve"> </w:t>
      </w:r>
      <w:r>
        <w:t>hierarchical relationship where a subordinate depends on a patron but must also maintain</w:t>
      </w:r>
      <w:r>
        <w:t xml:space="preserve"> </w:t>
      </w:r>
      <w:r>
        <w:t>relationships with other audiences.</w:t>
      </w:r>
    </w:p>
    <w:p w14:paraId="62E929BF" w14:textId="162291A9" w:rsidR="00C13B3E" w:rsidRDefault="00C13B3E" w:rsidP="00C13B3E">
      <w:r>
        <w:t>The Russian invasion of Ukraine confronted Russia’s formal security partners with exactly</w:t>
      </w:r>
      <w:r>
        <w:t xml:space="preserve"> </w:t>
      </w:r>
      <w:r>
        <w:t>this bind. States bound to Russia through CSTO and bilateral agreements had genuine</w:t>
      </w:r>
      <w:r>
        <w:t xml:space="preserve"> </w:t>
      </w:r>
      <w:r>
        <w:t>reasons to oppose the invasion—it violated sovereignty norms and threatened economic ties</w:t>
      </w:r>
      <w:r>
        <w:t xml:space="preserve"> </w:t>
      </w:r>
      <w:r>
        <w:t>with the West—but open condemnation of a patron willing to use force in its near abroad</w:t>
      </w:r>
      <w:r>
        <w:t xml:space="preserve"> </w:t>
      </w:r>
      <w:r>
        <w:t>was not viable. We argue that state-owned media functions as an informal signaling channel</w:t>
      </w:r>
      <w:r>
        <w:t xml:space="preserve"> </w:t>
      </w:r>
      <w:r>
        <w:t>through which constrained states communicate preferences to external audiences. While IR</w:t>
      </w:r>
      <w:r>
        <w:t xml:space="preserve"> </w:t>
      </w:r>
      <w:r>
        <w:t>scholarship has treated state media as a domestic tool Western governments have long monitored it for signals of regime preferences. The credibility of this channel rests on</w:t>
      </w:r>
      <w:r>
        <w:t xml:space="preserve"> </w:t>
      </w:r>
      <w:r>
        <w:t>three features: external observers understand state outlets to be under government</w:t>
      </w:r>
      <w:r>
        <w:t xml:space="preserve"> </w:t>
      </w:r>
      <w:r>
        <w:t>control,</w:t>
      </w:r>
      <w:r>
        <w:t xml:space="preserve"> </w:t>
      </w:r>
      <w:r>
        <w:t>so shifts in coverage are read as regime choices; the signal is costly, since negative</w:t>
      </w:r>
      <w:r>
        <w:t xml:space="preserve"> </w:t>
      </w:r>
      <w:r>
        <w:t>coverage</w:t>
      </w:r>
      <w:r>
        <w:t xml:space="preserve"> </w:t>
      </w:r>
      <w:r>
        <w:t>of a security patron risks retaliation; and crucially, the signal can reach Western intelligence</w:t>
      </w:r>
      <w:r>
        <w:t xml:space="preserve"> </w:t>
      </w:r>
      <w:r>
        <w:t>audiences while operating below the visibility threshold likely to provoke the patron.</w:t>
      </w:r>
    </w:p>
    <w:p w14:paraId="4496C83C" w14:textId="6D6911B6" w:rsidR="00C13B3E" w:rsidRDefault="00C13B3E" w:rsidP="00C13B3E">
      <w:r>
        <w:t>Why state media rather than other channels? The most public instruments—UN votes,</w:t>
      </w:r>
      <w:r>
        <w:t xml:space="preserve"> </w:t>
      </w:r>
      <w:r>
        <w:t>formal statements—are too costly for states bound by security agreements. Private diplomacy avoids provocation but sacrifices credibility, since messages behind closed doors are</w:t>
      </w:r>
      <w:r>
        <w:t xml:space="preserve"> </w:t>
      </w:r>
      <w:r>
        <w:t>unverifiable (Fearon, 1997). State-owned media occupies the middle ground: public</w:t>
      </w:r>
      <w:r>
        <w:t xml:space="preserve"> </w:t>
      </w:r>
      <w:r>
        <w:t>enough</w:t>
      </w:r>
      <w:r>
        <w:t xml:space="preserve"> </w:t>
      </w:r>
      <w:r>
        <w:t>to be observed by foreign governments, yet quiet enough to stay below the patron’s response</w:t>
      </w:r>
      <w:r>
        <w:t xml:space="preserve"> </w:t>
      </w:r>
      <w:r>
        <w:t>threshold.</w:t>
      </w:r>
    </w:p>
    <w:p w14:paraId="30601F26" w14:textId="322BC2C5" w:rsidR="00C13B3E" w:rsidRDefault="00C13B3E" w:rsidP="00C13B3E">
      <w:r>
        <w:t xml:space="preserve">We test this argument across twelve states in Russia’s near abroad, drawing on </w:t>
      </w:r>
      <w:r>
        <w:t>174,000</w:t>
      </w:r>
      <w:r>
        <w:t xml:space="preserve"> newspaper articles. We measure article-level sentiment toward Russia</w:t>
      </w:r>
      <w:r>
        <w:t xml:space="preserve"> </w:t>
      </w:r>
      <w:r>
        <w:t>using GPT-4o (F</w:t>
      </w:r>
      <w:r>
        <w:t>1</w:t>
      </w:r>
      <w:r>
        <w:t>=.92 vs. human coders) and exploit the sharp discontinuity of February</w:t>
      </w:r>
      <w:r>
        <w:t xml:space="preserve"> </w:t>
      </w:r>
      <w:r>
        <w:t>24 in a Difference-in-Discontinuity design.</w:t>
      </w:r>
    </w:p>
    <w:p w14:paraId="6E0838E5" w14:textId="3C8AB575" w:rsidR="00C13B3E" w:rsidRDefault="00C13B3E" w:rsidP="00C13B3E">
      <w:r>
        <w:t>We first establish that the invasion produced a negative shock to media sentiment across</w:t>
      </w:r>
      <w:r>
        <w:t xml:space="preserve"> </w:t>
      </w:r>
      <w:r>
        <w:t>the region, then show this decline was not uniform: independent media responded more</w:t>
      </w:r>
      <w:r>
        <w:t xml:space="preserve"> </w:t>
      </w:r>
      <w:r>
        <w:t>negatively than state-owned media, consistent with strategic management of coverage. The</w:t>
      </w:r>
      <w:r>
        <w:t xml:space="preserve"> </w:t>
      </w:r>
      <w:r>
        <w:t xml:space="preserve">critical test </w:t>
      </w:r>
      <w:proofErr w:type="gramStart"/>
      <w:r>
        <w:t>compares across</w:t>
      </w:r>
      <w:proofErr w:type="gramEnd"/>
      <w:r>
        <w:t xml:space="preserve"> security relationships. A domestic audience management account predicts Russia-aligned states suppress negative coverage. Instead, state-owned media</w:t>
      </w:r>
      <w:r>
        <w:t xml:space="preserve"> </w:t>
      </w:r>
      <w:r>
        <w:t>in Russian-allied states shifted more negatively than in neutral states, despite these states</w:t>
      </w:r>
      <w:r>
        <w:t xml:space="preserve"> </w:t>
      </w:r>
      <w:r>
        <w:t xml:space="preserve">refusing to condemn the invasion </w:t>
      </w:r>
      <w:proofErr w:type="gramStart"/>
      <w:r>
        <w:t>formally—consistent</w:t>
      </w:r>
      <w:proofErr w:type="gramEnd"/>
      <w:r>
        <w:t xml:space="preserve"> with </w:t>
      </w:r>
      <w:r>
        <w:lastRenderedPageBreak/>
        <w:t>constrained states using media</w:t>
      </w:r>
      <w:r>
        <w:t xml:space="preserve"> </w:t>
      </w:r>
      <w:r>
        <w:t>to signal dissatisfaction because formal channels were unavailable.</w:t>
      </w:r>
    </w:p>
    <w:p w14:paraId="7F225123" w14:textId="2FDEB3F9" w:rsidR="00E7240E" w:rsidRDefault="00C13B3E" w:rsidP="00C13B3E">
      <w:r>
        <w:t>Understanding how constrained allies respond to patron aggression matters for assessing alliance cohesion during conflict, yet formal diplomatic behavior obscures these preferences. Our findings show that state media offers a legible window into what formal channels</w:t>
      </w:r>
      <w:r>
        <w:t xml:space="preserve"> </w:t>
      </w:r>
      <w:r>
        <w:t>conceal—demonstrating that the signals practitioners have long tracked are theoretically</w:t>
      </w:r>
      <w:r>
        <w:t xml:space="preserve"> </w:t>
      </w:r>
      <w:r>
        <w:t>structured and empirically identifiable, and that the role of media in conflict extends beyond</w:t>
      </w:r>
      <w:r>
        <w:t xml:space="preserve"> </w:t>
      </w:r>
      <w:r>
        <w:t>domestic audience management to international signaling under constraint</w:t>
      </w:r>
      <w:r>
        <w:t>.</w:t>
      </w:r>
    </w:p>
    <w:sectPr w:rsidR="00E72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3E"/>
    <w:rsid w:val="000C2DE7"/>
    <w:rsid w:val="00221C35"/>
    <w:rsid w:val="006B11F7"/>
    <w:rsid w:val="00771AF6"/>
    <w:rsid w:val="00C13B3E"/>
    <w:rsid w:val="00E7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87BF4"/>
  <w15:chartTrackingRefBased/>
  <w15:docId w15:val="{ED1262A8-F955-4E2E-A498-9B78254F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498</Words>
  <Characters>3024</Characters>
  <Application>Microsoft Office Word</Application>
  <DocSecurity>0</DocSecurity>
  <Lines>45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Moratz, Donald</dc:creator>
  <cp:keywords/>
  <dc:description/>
  <cp:lastModifiedBy>Moratz, Donald</cp:lastModifiedBy>
  <cp:revision>1</cp:revision>
  <dcterms:created xsi:type="dcterms:W3CDTF">2026-03-31T20:15:00Z</dcterms:created>
  <dcterms:modified xsi:type="dcterms:W3CDTF">2026-03-31T20:28:00Z</dcterms:modified>
</cp:coreProperties>
</file>