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854F" w14:textId="77777777" w:rsidR="000D1FC8" w:rsidRDefault="007E4FB8">
      <w:pPr>
        <w:pStyle w:val="Ttulo"/>
      </w:pPr>
      <w:r>
        <w:t>Back to normal? A method to test and correct the impact of a shock on healthcare usage frequency data</w:t>
      </w:r>
    </w:p>
    <w:p w14:paraId="7CC28550" w14:textId="77777777" w:rsidR="000D1FC8" w:rsidRPr="00E865CB" w:rsidRDefault="007E4FB8">
      <w:pPr>
        <w:pStyle w:val="Author"/>
        <w:rPr>
          <w:lang w:val="es-ES"/>
        </w:rPr>
      </w:pPr>
      <w:r w:rsidRPr="00E865CB">
        <w:rPr>
          <w:lang w:val="es-ES"/>
        </w:rPr>
        <w:t>David Moriña</w:t>
      </w:r>
      <m:oMath>
        <m:sSup>
          <m:sSupPr>
            <m:ctrlPr>
              <w:rPr>
                <w:rFonts w:ascii="Cambria Math" w:hAnsi="Cambria Math"/>
              </w:rPr>
            </m:ctrlPr>
          </m:sSupPr>
          <m:e>
            <m:r>
              <w:rPr>
                <w:rFonts w:ascii="Cambria Math" w:hAnsi="Cambria Math"/>
                <w:lang w:val="es-ES"/>
              </w:rPr>
              <m:t>​</m:t>
            </m:r>
          </m:e>
          <m:sup>
            <m:r>
              <w:rPr>
                <w:rFonts w:ascii="Cambria Math" w:hAnsi="Cambria Math"/>
                <w:lang w:val="es-ES"/>
              </w:rPr>
              <m:t>1</m:t>
            </m:r>
          </m:sup>
        </m:sSup>
      </m:oMath>
      <w:r w:rsidRPr="00E865CB">
        <w:rPr>
          <w:lang w:val="es-ES"/>
        </w:rPr>
        <w:t>, Amanda Fernández-Fontelo</w:t>
      </w:r>
      <m:oMath>
        <m:sSup>
          <m:sSupPr>
            <m:ctrlPr>
              <w:rPr>
                <w:rFonts w:ascii="Cambria Math" w:hAnsi="Cambria Math"/>
              </w:rPr>
            </m:ctrlPr>
          </m:sSupPr>
          <m:e>
            <m:r>
              <w:rPr>
                <w:rFonts w:ascii="Cambria Math" w:hAnsi="Cambria Math"/>
                <w:lang w:val="es-ES"/>
              </w:rPr>
              <m:t>​</m:t>
            </m:r>
          </m:e>
          <m:sup>
            <m:r>
              <w:rPr>
                <w:rFonts w:ascii="Cambria Math" w:hAnsi="Cambria Math"/>
                <w:lang w:val="es-ES"/>
              </w:rPr>
              <m:t>2</m:t>
            </m:r>
          </m:sup>
        </m:sSup>
      </m:oMath>
      <w:r w:rsidRPr="00E865CB">
        <w:rPr>
          <w:lang w:val="es-ES"/>
        </w:rPr>
        <w:t>, Montserrat Guillén</w:t>
      </w:r>
      <m:oMath>
        <m:sSup>
          <m:sSupPr>
            <m:ctrlPr>
              <w:rPr>
                <w:rFonts w:ascii="Cambria Math" w:hAnsi="Cambria Math"/>
              </w:rPr>
            </m:ctrlPr>
          </m:sSupPr>
          <m:e>
            <m:r>
              <w:rPr>
                <w:rFonts w:ascii="Cambria Math" w:hAnsi="Cambria Math"/>
                <w:lang w:val="es-ES"/>
              </w:rPr>
              <m:t>​</m:t>
            </m:r>
          </m:e>
          <m:sup>
            <m:r>
              <w:rPr>
                <w:rFonts w:ascii="Cambria Math" w:hAnsi="Cambria Math"/>
                <w:lang w:val="es-ES"/>
              </w:rPr>
              <m:t>1</m:t>
            </m:r>
          </m:sup>
        </m:sSup>
      </m:oMath>
    </w:p>
    <w:p w14:paraId="7CC28551" w14:textId="77777777" w:rsidR="000D1FC8" w:rsidRDefault="007E4FB8">
      <w:pPr>
        <w:pStyle w:val="Abstract"/>
      </w:pPr>
      <w:r>
        <w:t xml:space="preserve">A method based on Bayesian structural time series is proposed to predict </w:t>
      </w:r>
      <w:r>
        <w:t>healthcare usage trends of frequency counts and to test the existence of changes in the series levels during or after an abnormal year, such as 2020. Our method can also be applied to calculate correction factors for count data to eliminate the impact of C</w:t>
      </w:r>
      <w:r>
        <w:t>OVID-19, which can then be integrated in a preprocessing step before any statistical analysis. For a large private health insurer in Spain, adjustments are derived from the estimated average level of healthcare usage, which decreased by 12% in 2020 compare</w:t>
      </w:r>
      <w:r>
        <w:t>d to 2019, and increased in 2021 and 2022, when the average usage was 16% and 22% higher, respectively, than in 2019. In addition, our proposed approach outperformed traditional time series techniques, resulting in more accurate predictions and lower error</w:t>
      </w:r>
      <w:r>
        <w:t xml:space="preserve"> measures, such as the Root Mean Squared Error and the Mean Absolute Percentage Error. Our conclusion is that healthcare insurance utilization did not fully return to its pre-pandemic levels in 2022, except for some groups and services, which could explain</w:t>
      </w:r>
      <w:r>
        <w:t xml:space="preserve"> some of the reasons for the recent increase in insurance premiums. Our method can also be implemented in general in other areas of risk analysis that study frequency counts and experience shocks.</w:t>
      </w:r>
    </w:p>
    <w:p w14:paraId="7CC28552" w14:textId="77777777" w:rsidR="000D1FC8" w:rsidRDefault="007E4FB8">
      <w:pPr>
        <w:pStyle w:val="FirstParagraph"/>
      </w:pPr>
      <w:r>
        <w:t>©2009 Society for Risk Analysis</w:t>
      </w:r>
    </w:p>
    <w:p w14:paraId="7CC28553" w14:textId="77777777" w:rsidR="000D1FC8" w:rsidRDefault="007E4FB8">
      <w:pPr>
        <w:pStyle w:val="Textoindependiente"/>
      </w:pPr>
      <w:r>
        <w:t>health services; modelling;</w:t>
      </w:r>
      <w:r>
        <w:t xml:space="preserve"> insurance; covid-19; time series; pre-processing</w:t>
      </w:r>
    </w:p>
    <w:p w14:paraId="7CC28554" w14:textId="77777777" w:rsidR="000D1FC8" w:rsidRDefault="007E4FB8">
      <w:pPr>
        <w:pStyle w:val="Ttulo1"/>
      </w:pPr>
      <w:bookmarkStart w:id="0" w:name="intro"/>
      <w:r>
        <w:t>Introduction</w:t>
      </w:r>
    </w:p>
    <w:p w14:paraId="7CC28555" w14:textId="77777777" w:rsidR="000D1FC8" w:rsidRDefault="007E4FB8">
      <w:pPr>
        <w:pStyle w:val="FirstParagraph"/>
      </w:pPr>
      <w:r>
        <w:t xml:space="preserve">After 2020, one of the main problems faced by health insurers is that historical count records on the use of medical services, which are usually the basis for a yearly update of future prices, </w:t>
      </w:r>
      <w:r>
        <w:t>are totally influenced by the pandemic shock (Y. Kim et al. 2022; Xu et al. 2021; Cantor et al. 2022) and a natural question is whether or not the data following a pandemic are still useful for future projections. If rescaling was possible, then these data</w:t>
      </w:r>
      <w:r>
        <w:t xml:space="preserve"> could still be analyzed, net of the pandemic effect. Otherwise, data from pandemic and post-pandemic years may not be comparable to normal periods.</w:t>
      </w:r>
    </w:p>
    <w:p w14:paraId="7CC28556" w14:textId="77777777" w:rsidR="000D1FC8" w:rsidRDefault="007E4FB8">
      <w:pPr>
        <w:pStyle w:val="Textoindependiente"/>
      </w:pPr>
      <w:r>
        <w:t xml:space="preserve">Our contribution aims to measure the impact of the COVID-19 pandemic shock in terms of the under- or over- </w:t>
      </w:r>
      <w:r>
        <w:t>frequency use of medical insurance services and how to take advantage of those estimates to correct individual portfolio data since 2020 in statistical modeling in the subsequent years, so that no data should be discarded. Our inspiration comes from the tr</w:t>
      </w:r>
      <w:r>
        <w:t>aditional time series decomposition methods, where shocks can be identified and deducted from the original series in order to derive future trends net of the shock.</w:t>
      </w:r>
    </w:p>
    <w:p w14:paraId="7CC28557" w14:textId="77777777" w:rsidR="000D1FC8" w:rsidRDefault="007E4FB8">
      <w:pPr>
        <w:pStyle w:val="Textoindependiente"/>
      </w:pPr>
      <w:r>
        <w:t>After having experienced a shock like the COVID-19 pandemic, some analysts may be tempted t</w:t>
      </w:r>
      <w:r>
        <w:t xml:space="preserve">o delete the post-pandemic information from years 2020 to 2022, and return to 2019 as the baseline period, arguing that once we are fully back to normal, that should be everyone’s reference year. However, the consequences of rescheduling </w:t>
      </w:r>
      <w:r>
        <w:lastRenderedPageBreak/>
        <w:t>medical treatments</w:t>
      </w:r>
      <w:r>
        <w:t xml:space="preserve"> and prevention in 2020, which may have led to an overuse of medical services in 2021, and possibly 2022, are still unclear (Wilensky 2022) and it is even arguable that some medical specialties may have been more affected than others, meaning that the post</w:t>
      </w:r>
      <w:r>
        <w:t>-pandemic effect may still be significant for some specific medical usage records. During the pandemic, hospitals had to deal with the pandemic waves, but on-going cancer treatments, including chemotherapy and surgeries, were discontinued as little as poss</w:t>
      </w:r>
      <w:r>
        <w:t>ible. However, many non-urgent surgeries, preventative appointments, and diagnostic services were canceled, resulting in delayed treatment and increased healthcare burden for patients with non-COVID related conditions, and that may have had a potential lon</w:t>
      </w:r>
      <w:r>
        <w:t>g term effect on the usage counts.</w:t>
      </w:r>
    </w:p>
    <w:p w14:paraId="7CC28558" w14:textId="77777777" w:rsidR="000D1FC8" w:rsidRDefault="007E4FB8">
      <w:pPr>
        <w:pStyle w:val="Textoindependiente"/>
      </w:pPr>
      <w:r>
        <w:t>We present a method based on the analysis of time series of counts, which captures the shock in 2020 and provides much better forecasts for 2021 and 2022 than traditional methods. Our approach is helpful for measuring the</w:t>
      </w:r>
      <w:r>
        <w:t xml:space="preserve"> impact of the pandemic in terms of excess (or dearth) in frequency of claims, and can be used to test whether or not usage frequency levels are back to their normal pattern in 2019. In addition, once the size of the pandemic shock impact is calculated, da</w:t>
      </w:r>
      <w:r>
        <w:t>ta analysts may choose to study post-pandemic data without the shock effect by simply introducing an adequate scale correction.</w:t>
      </w:r>
    </w:p>
    <w:p w14:paraId="7CC28559" w14:textId="77777777" w:rsidR="000D1FC8" w:rsidRDefault="007E4FB8">
      <w:pPr>
        <w:pStyle w:val="Textoindependiente"/>
      </w:pPr>
      <w:r>
        <w:t>In a case study for a large insurance company in Spain, we find that the decrease in health insurance claims during the pandemic</w:t>
      </w:r>
      <w:r>
        <w:t xml:space="preserve"> can be established in about 12% when comparing 2020 to 2019, while in 2021 and 2022, the usage level of health care services increased and this level is not yet back to the megnitude in 2019. There are some exceptions to this general result. For instance,</w:t>
      </w:r>
      <w:r>
        <w:t xml:space="preserve"> the series of frequency claims for people aged 60+ have returned to the 2019 average, whereas some services such as visits to a general practitioner (GP) were still 48% higher in 2022 compared to 2019.</w:t>
      </w:r>
    </w:p>
    <w:p w14:paraId="7CC2855A" w14:textId="77777777" w:rsidR="000D1FC8" w:rsidRDefault="007E4FB8">
      <w:pPr>
        <w:pStyle w:val="Ttulo2"/>
      </w:pPr>
      <w:bookmarkStart w:id="1" w:name="background"/>
      <w:r>
        <w:t>Background</w:t>
      </w:r>
    </w:p>
    <w:p w14:paraId="7CC2855B" w14:textId="77777777" w:rsidR="000D1FC8" w:rsidRDefault="007E4FB8">
      <w:pPr>
        <w:pStyle w:val="FirstParagraph"/>
      </w:pPr>
      <w:r>
        <w:t>After COVID-19 stroke in 2020, some lesson</w:t>
      </w:r>
      <w:r>
        <w:t>s were learned. The pandemic caused unprecedented disruption to the global health insurance market (Przybytniowski et al. 2022; Szczygielski et al. 2022).</w:t>
      </w:r>
    </w:p>
    <w:p w14:paraId="7CC2855C" w14:textId="77777777" w:rsidR="000D1FC8" w:rsidRDefault="007E4FB8">
      <w:pPr>
        <w:pStyle w:val="Textoindependiente"/>
      </w:pPr>
      <w:r>
        <w:t>The pandemic obliged many people to stay home, so that the number of medical appointments, hospital a</w:t>
      </w:r>
      <w:r>
        <w:t>dmissions, and other medical services initially decreased in 2020 compared to 2019. So, the decrease in healthcare usage claims frequency was due to the postponement of elective medical procedures, such as surgeries and other invasive treatments, which are</w:t>
      </w:r>
      <w:r>
        <w:t xml:space="preserve"> typically covered by health insurance. These procedures were often put on hold due to the strain on healthcare systems, as well as the restrictions on movement in many areas. Finally, the fear of contracting COVID-19 in healthcare settings led some people</w:t>
      </w:r>
      <w:r>
        <w:t xml:space="preserve"> to avoid seeking medical care, even for serious conditions that would typically require coverage from health insurance. This also contributed to the decrease in health insurance claims in 2020. Overall, the decrease in health insurance claims during the p</w:t>
      </w:r>
      <w:r>
        <w:t>andemic can be attributed to a combination of factors(Plott, Kachalia, and Sharfstein 2020) and a rebound after the pandemic was expected.</w:t>
      </w:r>
    </w:p>
    <w:p w14:paraId="7CC2855D" w14:textId="77777777" w:rsidR="000D1FC8" w:rsidRDefault="007E4FB8">
      <w:pPr>
        <w:pStyle w:val="Textoindependiente"/>
      </w:pPr>
      <w:r>
        <w:lastRenderedPageBreak/>
        <w:t>The pandemic created a state of emergency across all areas of healthcare, resulting in reduced resources for treating</w:t>
      </w:r>
      <w:r>
        <w:t xml:space="preserve"> other illnesses. This pattern is similar in many countries around the globe (Xu et al. 2021; Mogharab et al. 2022), but there is evidence that some demographic groups were more affected than others. For example, older adults in The Netherlands (Mizee et a</w:t>
      </w:r>
      <w:r>
        <w:t>l. 2022) and Germany (Michalowsky et al. 2021) suffered substantially more cancellation rates of medical visits or postponement of medical care in 2020 than younger adults. In addition, several studies mention the consequences of delaying treatments for no</w:t>
      </w:r>
      <w:r>
        <w:t>n-emergency diseases (S. H. Kim et al. 2022; Kotrych et al. 2022; Di Martino et al. 2022) and scheduled surgeries (Ricciardiello et al. 2021).</w:t>
      </w:r>
    </w:p>
    <w:p w14:paraId="7CC2855E" w14:textId="77777777" w:rsidR="000D1FC8" w:rsidRDefault="007E4FB8">
      <w:pPr>
        <w:pStyle w:val="Textoindependiente"/>
      </w:pPr>
      <w:r>
        <w:t>In general, in many countries, private health insurance boosted after 2020 and the market expanded with more expe</w:t>
      </w:r>
      <w:r>
        <w:t>nsive premiums and many more policyholders than ever before. An additional reason why premiums increased even if the initial effect of COVID-19 was a claim reduction is that the pandemic changed the way health insurance companies approach risk after a mere</w:t>
      </w:r>
      <w:r>
        <w:t>ly potential risk event became a realized catastrophic event (Richter and Wilson 2020). Many insurers have taken a more cautious approach to risk, leading to increased premiums, increased deductibles, and decreased coverage. In addition, some insurers have</w:t>
      </w:r>
      <w:r>
        <w:t xml:space="preserve"> changed their eligibility criteria and charge higher premiums for those with pre-existing conditions than they used to. The pandemic has also caused an increase in the cost of health care services(Poisal et al. 2022). This is due to higher demand for serv</w:t>
      </w:r>
      <w:r>
        <w:t>ices, increased costs for medical supplies, and increased costs for delivering care. As a result, many health insurance companies have reacted with an increase in prices that is attributable to a higher uncertainty of a possible increase of claims due to t</w:t>
      </w:r>
      <w:r>
        <w:t>he fact that some pathologies that could have been diagnosed, were not and then the treatment would cost more than what would be expected had they been identified at early stages. Some studies on the long-term effects of COVID-19 in some patients, has also</w:t>
      </w:r>
      <w:r>
        <w:t xml:space="preserve"> increase the fear of a durable increased level of claims.</w:t>
      </w:r>
    </w:p>
    <w:p w14:paraId="7CC2855F" w14:textId="77777777" w:rsidR="000D1FC8" w:rsidRDefault="007E4FB8">
      <w:pPr>
        <w:pStyle w:val="Ttulo2"/>
      </w:pPr>
      <w:bookmarkStart w:id="2" w:name="motivation-and-objectives"/>
      <w:bookmarkEnd w:id="1"/>
      <w:r>
        <w:t>Motivation and objectives</w:t>
      </w:r>
    </w:p>
    <w:p w14:paraId="7CC28560" w14:textId="77777777" w:rsidR="000D1FC8" w:rsidRDefault="007E4FB8">
      <w:pPr>
        <w:pStyle w:val="FirstParagraph"/>
      </w:pPr>
      <w:r>
        <w:t xml:space="preserve">Many insurers realize that 2020, 2021 and 2022 are special years in health insurance and actuaries are puzzled about the effects of keeping these data intact in long-term </w:t>
      </w:r>
      <w:r>
        <w:t>risk analysis (Biancalana and Baione 2022). Besides the catastrophic effect on insurability and contract design in all lines of business (Hartwig, Niehaus, and Qiu 2020), the problem is to identify whether or not the fluctuations of claims frequency and se</w:t>
      </w:r>
      <w:r>
        <w:t>verity are back to a stable level after 2021. A tool for correcting the claim frequency information based on a quantitative assessment of the underreporting/overreporting of claims is of most interest in order to base future pricing on the most recent year</w:t>
      </w:r>
      <w:r>
        <w:t>s instead of resorting to 2019.</w:t>
      </w:r>
    </w:p>
    <w:p w14:paraId="7CC28561" w14:textId="77777777" w:rsidR="000D1FC8" w:rsidRDefault="007E4FB8">
      <w:pPr>
        <w:pStyle w:val="Textoindependiente"/>
      </w:pPr>
      <w:r>
        <w:t>We propose a method to cover the following three objectives: 1) to quantify the size of a shock impact on claiming frequency series, 2) to test if a claim frequency series still shows a significant impact and 3) to rescale f</w:t>
      </w:r>
      <w:r>
        <w:t>requency data in order to eliminate the impact effect. We illustrate our method with data from a Spanish private health insurance company.</w:t>
      </w:r>
    </w:p>
    <w:p w14:paraId="7CC28562" w14:textId="77777777" w:rsidR="000D1FC8" w:rsidRDefault="007E4FB8">
      <w:pPr>
        <w:pStyle w:val="Textoindependiente"/>
      </w:pPr>
      <w:r>
        <w:lastRenderedPageBreak/>
        <w:t>We aim to quantify the effect of the pandemic outbreaks on the time series of claims, by identifying the shock size i</w:t>
      </w:r>
      <w:r>
        <w:t xml:space="preserve">n 2020 and the return to a pre-pandemic level in 2019. Our method aims to design a step by step procedure that would help health insurers decide when their portfolio information is still affected by the pandemic shock, so that the claiming data is already </w:t>
      </w:r>
      <w:r>
        <w:t>suitable for predictive modeling, or, in case data are still showing some post-pandemic effect, what is the size of the distortion, and how can the data be corrected to be suitable for predictive modeling in premium calculation. The analysis can be done fo</w:t>
      </w:r>
      <w:r>
        <w:t>r all types of claims, or for subgroups defined by claimant characteristics like sex or age, and by type of healthcare service.</w:t>
      </w:r>
    </w:p>
    <w:p w14:paraId="7CC28563" w14:textId="77777777" w:rsidR="000D1FC8" w:rsidRDefault="007E4FB8">
      <w:pPr>
        <w:pStyle w:val="Ttulo1"/>
      </w:pPr>
      <w:bookmarkStart w:id="3" w:name="methods"/>
      <w:bookmarkEnd w:id="2"/>
      <w:bookmarkEnd w:id="0"/>
      <w:r>
        <w:t>Methods</w:t>
      </w:r>
    </w:p>
    <w:p w14:paraId="7CC28564" w14:textId="77777777" w:rsidR="000D1FC8" w:rsidRDefault="007E4FB8">
      <w:pPr>
        <w:pStyle w:val="FirstParagraph"/>
      </w:pPr>
      <w:r>
        <w:t>This paper proposes an approach adapting the well-known difference-in-differences methodology to the time series setting</w:t>
      </w:r>
      <w:r>
        <w:t xml:space="preserve"> by explicitly modeling the counterfactual of a time series observed both before and after the occurrence of an event of interest, potentially impacting the evolution of the process as the COVID-19 pandemic shock in this case. Our approach provides a fully</w:t>
      </w:r>
      <w:r>
        <w:t xml:space="preserve"> Bayesian time-series estimate for the effect, and it uses model averaging to construct the most appropriate synthetic control for modeling the counterfactual.</w:t>
      </w:r>
    </w:p>
    <w:p w14:paraId="7CC28565" w14:textId="77777777" w:rsidR="000D1FC8" w:rsidRDefault="007E4FB8">
      <w:pPr>
        <w:pStyle w:val="Ttulo2"/>
      </w:pPr>
      <w:bookmarkStart w:id="4" w:name="methodsBSTS"/>
      <w:r>
        <w:t>Shock impact detection and evaluation</w:t>
      </w:r>
    </w:p>
    <w:p w14:paraId="7CC28566" w14:textId="77777777" w:rsidR="000D1FC8" w:rsidRDefault="007E4FB8">
      <w:pPr>
        <w:pStyle w:val="FirstParagraph"/>
      </w:pPr>
      <w:r>
        <w:t xml:space="preserve">Let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denote the observation </w:t>
      </w:r>
      <m:oMath>
        <m:r>
          <w:rPr>
            <w:rFonts w:ascii="Cambria Math" w:hAnsi="Cambria Math"/>
          </w:rPr>
          <m:t>t</m:t>
        </m:r>
      </m:oMath>
      <w:r>
        <w:t xml:space="preserve"> in a real-valued time s</w:t>
      </w:r>
      <w:r>
        <w:t xml:space="preserve">eries. A structural time series (STS) model can be described by a pair of equations relating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to a vector of latent state variables </w:t>
      </w:r>
      <m:oMath>
        <m:sSub>
          <m:sSubPr>
            <m:ctrlPr>
              <w:rPr>
                <w:rFonts w:ascii="Cambria Math" w:hAnsi="Cambria Math"/>
              </w:rPr>
            </m:ctrlPr>
          </m:sSubPr>
          <m:e>
            <m:r>
              <w:rPr>
                <w:rFonts w:ascii="Cambria Math" w:hAnsi="Cambria Math"/>
              </w:rPr>
              <m:t>α</m:t>
            </m:r>
          </m:e>
          <m:sub>
            <m:r>
              <w:rPr>
                <w:rFonts w:ascii="Cambria Math" w:hAnsi="Cambria Math"/>
              </w:rPr>
              <m:t>t</m:t>
            </m:r>
          </m:sub>
        </m:sSub>
      </m:oMath>
      <w:r>
        <w:t>:</w:t>
      </w:r>
    </w:p>
    <w:p w14:paraId="7CC28567" w14:textId="77777777" w:rsidR="000D1FC8" w:rsidRDefault="007E4FB8">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T</m:t>
              </m:r>
            </m:sup>
          </m:sSubSup>
          <m:sSub>
            <m:sSubPr>
              <m:ctrlPr>
                <w:rPr>
                  <w:rFonts w:ascii="Cambria Math" w:hAnsi="Cambria Math"/>
                </w:rPr>
              </m:ctrlPr>
            </m:sSubPr>
            <m:e>
              <m:r>
                <w:rPr>
                  <w:rFonts w:ascii="Cambria Math" w:hAnsi="Cambria Math"/>
                </w:rPr>
                <m:t>α</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e>
          </m:d>
        </m:oMath>
      </m:oMathPara>
    </w:p>
    <w:p w14:paraId="7CC28568" w14:textId="77777777" w:rsidR="000D1FC8" w:rsidRDefault="007E4FB8">
      <w:pPr>
        <w:pStyle w:val="FirstParagraph"/>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sSub>
            <m:sSubPr>
              <m:ctrlPr>
                <w:rPr>
                  <w:rFonts w:ascii="Cambria Math" w:hAnsi="Cambria Math"/>
                </w:rPr>
              </m:ctrlPr>
            </m:sSubPr>
            <m:e>
              <m:r>
                <w:rPr>
                  <w:rFonts w:ascii="Cambria Math" w:hAnsi="Cambria Math"/>
                </w:rPr>
                <m:t>α</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e>
          </m:d>
        </m:oMath>
      </m:oMathPara>
    </w:p>
    <w:p w14:paraId="7CC28569" w14:textId="77777777" w:rsidR="000D1FC8" w:rsidRDefault="007E4FB8">
      <w:pPr>
        <w:pStyle w:val="FirstParagraph"/>
      </w:pPr>
      <w:r>
        <w:t>Equation </w:t>
      </w:r>
      <w:hyperlink w:anchor="eq1">
        <w:r>
          <w:rPr>
            <w:rStyle w:val="Hipervnculo"/>
          </w:rPr>
          <w:t>[eq1]</w:t>
        </w:r>
      </w:hyperlink>
      <w:r>
        <w:t xml:space="preserve"> is called the observation equation, because it links the observed data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with the unobserved latent state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Equation </w:t>
      </w:r>
      <w:hyperlink w:anchor="eq2">
        <w:r>
          <w:rPr>
            <w:rStyle w:val="Hipervnculo"/>
          </w:rPr>
          <w:t>[eq2]</w:t>
        </w:r>
      </w:hyperlink>
      <w:r>
        <w:t xml:space="preserve"> is called the transition equation because it defines how the latent state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xml:space="preserve"> evolves over time. A model that can be described by these two equations is said to be in state space form, which defines a large class of mod</w:t>
      </w:r>
      <w:r>
        <w:t>els including the AutoRegressive Integrated Moving Average(Scott and Varian 2014) (ARIMA).</w:t>
      </w:r>
    </w:p>
    <w:p w14:paraId="7CC2856A" w14:textId="77777777" w:rsidR="000D1FC8" w:rsidRDefault="007E4FB8">
      <w:pPr>
        <w:pStyle w:val="Textoindependiente"/>
      </w:pPr>
      <w:r>
        <w:t xml:space="preserve">In this work,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is a vector representing the evolution of the weekly number of claims associated to a private health insurance, </w:t>
      </w:r>
      <m:oMath>
        <m:sSub>
          <m:sSubPr>
            <m:ctrlPr>
              <w:rPr>
                <w:rFonts w:ascii="Cambria Math" w:hAnsi="Cambria Math"/>
              </w:rPr>
            </m:ctrlPr>
          </m:sSubPr>
          <m:e>
            <m:r>
              <w:rPr>
                <w:rFonts w:ascii="Cambria Math" w:hAnsi="Cambria Math"/>
              </w:rPr>
              <m:t>Z</m:t>
            </m:r>
          </m:e>
          <m:sub>
            <m:r>
              <w:rPr>
                <w:rFonts w:ascii="Cambria Math" w:hAnsi="Cambria Math"/>
              </w:rPr>
              <m:t>t</m:t>
            </m:r>
          </m:sub>
        </m:sSub>
      </m:oMath>
      <w:r>
        <w:t xml:space="preserve"> is a </w:t>
      </w:r>
      <m:oMath>
        <m:r>
          <w:rPr>
            <w:rFonts w:ascii="Cambria Math" w:hAnsi="Cambria Math"/>
          </w:rPr>
          <m:t>d</m:t>
        </m:r>
      </m:oMath>
      <w:r>
        <w:t>-dimensional output ve</w:t>
      </w:r>
      <w:r>
        <w:t xml:space="preserve">ctor, </w:t>
      </w:r>
      <m:oMath>
        <m:sSub>
          <m:sSubPr>
            <m:ctrlPr>
              <w:rPr>
                <w:rFonts w:ascii="Cambria Math" w:hAnsi="Cambria Math"/>
              </w:rPr>
            </m:ctrlPr>
          </m:sSubPr>
          <m:e>
            <m:r>
              <w:rPr>
                <w:rFonts w:ascii="Cambria Math" w:hAnsi="Cambria Math"/>
              </w:rPr>
              <m:t>T</m:t>
            </m:r>
          </m:e>
          <m:sub>
            <m:r>
              <w:rPr>
                <w:rFonts w:ascii="Cambria Math" w:hAnsi="Cambria Math"/>
              </w:rPr>
              <m:t>t</m:t>
            </m:r>
          </m:sub>
        </m:sSub>
      </m:oMath>
      <w:r>
        <w:t xml:space="preserve"> is a </w:t>
      </w:r>
      <m:oMath>
        <m:r>
          <w:rPr>
            <w:rFonts w:ascii="Cambria Math" w:hAnsi="Cambria Math"/>
          </w:rPr>
          <m:t>d</m:t>
        </m:r>
        <m:r>
          <m:rPr>
            <m:sty m:val="p"/>
          </m:rPr>
          <w:rPr>
            <w:rFonts w:ascii="Cambria Math" w:hAnsi="Cambria Math"/>
          </w:rPr>
          <m:t>×</m:t>
        </m:r>
        <m:r>
          <w:rPr>
            <w:rFonts w:ascii="Cambria Math" w:hAnsi="Cambria Math"/>
          </w:rPr>
          <m:t>d</m:t>
        </m:r>
      </m:oMath>
      <w:r>
        <w:t xml:space="preserve"> transition matrix,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is a </w:t>
      </w:r>
      <m:oMath>
        <m:r>
          <w:rPr>
            <w:rFonts w:ascii="Cambria Math" w:hAnsi="Cambria Math"/>
          </w:rPr>
          <m:t>d</m:t>
        </m:r>
        <m:r>
          <m:rPr>
            <m:sty m:val="p"/>
          </m:rPr>
          <w:rPr>
            <w:rFonts w:ascii="Cambria Math" w:hAnsi="Cambria Math"/>
          </w:rPr>
          <m:t>×</m:t>
        </m:r>
        <m:r>
          <w:rPr>
            <w:rFonts w:ascii="Cambria Math" w:hAnsi="Cambria Math"/>
          </w:rPr>
          <m:t>q</m:t>
        </m:r>
      </m:oMath>
      <w:r>
        <w:t xml:space="preserve"> control matrix,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a scalar observation error with noise variance </w:t>
      </w:r>
      <m:oMath>
        <m:sSub>
          <m:sSubPr>
            <m:ctrlPr>
              <w:rPr>
                <w:rFonts w:ascii="Cambria Math" w:hAnsi="Cambria Math"/>
              </w:rPr>
            </m:ctrlPr>
          </m:sSubPr>
          <m:e>
            <m:r>
              <w:rPr>
                <w:rFonts w:ascii="Cambria Math" w:hAnsi="Cambria Math"/>
              </w:rPr>
              <m:t>H</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t</m:t>
            </m:r>
          </m:sub>
        </m:sSub>
      </m:oMath>
      <w:r>
        <w:t xml:space="preserve"> is a </w:t>
      </w:r>
      <m:oMath>
        <m:r>
          <w:rPr>
            <w:rFonts w:ascii="Cambria Math" w:hAnsi="Cambria Math"/>
          </w:rPr>
          <m:t>q</m:t>
        </m:r>
      </m:oMath>
      <w:r>
        <w:t xml:space="preserve">-dimensional system error with a </w:t>
      </w:r>
      <m:oMath>
        <m:r>
          <w:rPr>
            <w:rFonts w:ascii="Cambria Math" w:hAnsi="Cambria Math"/>
          </w:rPr>
          <m:t>q</m:t>
        </m:r>
        <m:r>
          <m:rPr>
            <m:sty m:val="p"/>
          </m:rPr>
          <w:rPr>
            <w:rFonts w:ascii="Cambria Math" w:hAnsi="Cambria Math"/>
          </w:rPr>
          <m:t>×</m:t>
        </m:r>
        <m:r>
          <w:rPr>
            <w:rFonts w:ascii="Cambria Math" w:hAnsi="Cambria Math"/>
          </w:rPr>
          <m:t>q</m:t>
        </m:r>
      </m:oMath>
      <w:r>
        <w:t xml:space="preserve"> state-diffusion matrix </w:t>
      </w:r>
      <m:oMath>
        <m:sSub>
          <m:sSubPr>
            <m:ctrlPr>
              <w:rPr>
                <w:rFonts w:ascii="Cambria Math" w:hAnsi="Cambria Math"/>
              </w:rPr>
            </m:ctrlPr>
          </m:sSubPr>
          <m:e>
            <m:r>
              <w:rPr>
                <w:rFonts w:ascii="Cambria Math" w:hAnsi="Cambria Math"/>
              </w:rPr>
              <m:t>Q</m:t>
            </m:r>
          </m:e>
          <m:sub>
            <m:r>
              <w:rPr>
                <w:rFonts w:ascii="Cambria Math" w:hAnsi="Cambria Math"/>
              </w:rPr>
              <m:t>t</m:t>
            </m:r>
          </m:sub>
        </m:sSub>
      </m:oMath>
      <w:r>
        <w:t xml:space="preserve"> , where </w:t>
      </w:r>
      <m:oMath>
        <m:r>
          <w:rPr>
            <w:rFonts w:ascii="Cambria Math" w:hAnsi="Cambria Math"/>
          </w:rPr>
          <m:t>q</m:t>
        </m:r>
        <m:r>
          <m:rPr>
            <m:sty m:val="p"/>
          </m:rPr>
          <w:rPr>
            <w:rFonts w:ascii="Cambria Math" w:hAnsi="Cambria Math"/>
          </w:rPr>
          <m:t>≤</m:t>
        </m:r>
        <m:r>
          <w:rPr>
            <w:rFonts w:ascii="Cambria Math" w:hAnsi="Cambria Math"/>
          </w:rPr>
          <m:t>d</m:t>
        </m:r>
      </m:oMath>
      <w:r>
        <w:t>.</w:t>
      </w:r>
    </w:p>
    <w:p w14:paraId="7CC2856B" w14:textId="77777777" w:rsidR="000D1FC8" w:rsidRDefault="007E4FB8">
      <w:pPr>
        <w:pStyle w:val="Textoindependiente"/>
      </w:pPr>
      <w:r>
        <w:t xml:space="preserve">Let </w:t>
      </w:r>
      <m:oMath>
        <m:r>
          <w:rPr>
            <w:rFonts w:ascii="Cambria Math" w:hAnsi="Cambria Math"/>
          </w:rPr>
          <m:t>θ</m:t>
        </m:r>
      </m:oMath>
      <w:r>
        <w:t xml:space="preserve"> </w:t>
      </w:r>
      <w:r>
        <w:t xml:space="preserve">denote the set of all model parameters and </w:t>
      </w:r>
      <m:oMath>
        <m:r>
          <w:rPr>
            <w:rFonts w:ascii="Cambria Math" w:hAnsi="Cambria Math"/>
          </w:rPr>
          <m:t>α</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e>
        </m:d>
      </m:oMath>
      <w:r>
        <w:t xml:space="preserve"> denote the full state sequence. Following (Brodersen et al. 2015), a prior distribution </w:t>
      </w:r>
      <m:oMath>
        <m:r>
          <w:rPr>
            <w:rFonts w:ascii="Cambria Math" w:hAnsi="Cambria Math"/>
          </w:rPr>
          <m:t>p</m:t>
        </m:r>
        <m:d>
          <m:dPr>
            <m:ctrlPr>
              <w:rPr>
                <w:rFonts w:ascii="Cambria Math" w:hAnsi="Cambria Math"/>
              </w:rPr>
            </m:ctrlPr>
          </m:dPr>
          <m:e>
            <m:r>
              <w:rPr>
                <w:rFonts w:ascii="Cambria Math" w:hAnsi="Cambria Math"/>
              </w:rPr>
              <m:t>θ</m:t>
            </m:r>
          </m:e>
        </m:d>
      </m:oMath>
      <w:r>
        <w:t xml:space="preserve"> is specified on the model parameters jointly with a distribution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r>
              <w:rPr>
                <w:rFonts w:ascii="Cambria Math" w:hAnsi="Cambria Math"/>
              </w:rPr>
              <m:t>θ</m:t>
            </m:r>
          </m:e>
        </m:d>
      </m:oMath>
      <w:r>
        <w:t xml:space="preserve"> on the initial state values, and</w:t>
      </w:r>
      <w:r>
        <w:t xml:space="preserve"> then sample from </w:t>
      </w:r>
      <m:oMath>
        <m:r>
          <w:rPr>
            <w:rFonts w:ascii="Cambria Math" w:hAnsi="Cambria Math"/>
          </w:rPr>
          <m:t>p</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y</m:t>
            </m:r>
          </m:e>
        </m:d>
      </m:oMath>
      <w:r>
        <w:t xml:space="preserve"> using a Markov Chain Monte Carlo (MCMC) </w:t>
      </w:r>
      <w:r>
        <w:lastRenderedPageBreak/>
        <w:t xml:space="preserve">algorithm. In order to estimate the impact of a shock in the evolution of a time series based on the proposed methodology, draws of the model parameters </w:t>
      </w:r>
      <m:oMath>
        <m:r>
          <w:rPr>
            <w:rFonts w:ascii="Cambria Math" w:hAnsi="Cambria Math"/>
          </w:rPr>
          <m:t>θ</m:t>
        </m:r>
      </m:oMath>
      <w:r>
        <w:t xml:space="preserve"> and the state vector </w:t>
      </w:r>
      <m:oMath>
        <m:r>
          <w:rPr>
            <w:rFonts w:ascii="Cambria Math" w:hAnsi="Cambria Math"/>
          </w:rPr>
          <m:t>α</m:t>
        </m:r>
      </m:oMath>
      <w:r>
        <w:t xml:space="preserve"> given t</w:t>
      </w:r>
      <w:r>
        <w:t xml:space="preserve">he observed data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in the training period are simulated. We denote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as </w:t>
      </w:r>
      <m:oMath>
        <m:sSub>
          <m:sSubPr>
            <m:ctrlPr>
              <w:rPr>
                <w:rFonts w:ascii="Cambria Math" w:hAnsi="Cambria Math"/>
              </w:rPr>
            </m:ctrlPr>
          </m:sSubPr>
          <m:e>
            <m:r>
              <w:rPr>
                <w:rFonts w:ascii="Cambria Math" w:hAnsi="Cambria Math"/>
              </w:rPr>
              <m:t>y</m:t>
            </m:r>
          </m:e>
          <m:sub>
            <m:r>
              <w:rPr>
                <w:rFonts w:ascii="Cambria Math" w:hAnsi="Cambria Math"/>
              </w:rPr>
              <m:t>1</m:t>
            </m:r>
            <m:r>
              <m:rPr>
                <m:sty m:val="p"/>
              </m:rPr>
              <w:rPr>
                <w:rFonts w:ascii="Cambria Math" w:hAnsi="Cambria Math"/>
              </w:rPr>
              <m:t>:</m:t>
            </m:r>
            <m:r>
              <w:rPr>
                <w:rFonts w:ascii="Cambria Math" w:hAnsi="Cambria Math"/>
              </w:rPr>
              <m:t>n</m:t>
            </m:r>
          </m:sub>
        </m:sSub>
      </m:oMath>
      <w:r>
        <w:t xml:space="preserve">. The posterior simulations are then used to simulate from the posterior predictive distribution </w:t>
      </w:r>
      <m:oMath>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r>
                  <m:rPr>
                    <m:sty m:val="p"/>
                  </m:rPr>
                  <w:rPr>
                    <w:rFonts w:ascii="Cambria Math" w:hAnsi="Cambria Math"/>
                  </w:rPr>
                  <m:t>:</m:t>
                </m:r>
                <m:r>
                  <w:rPr>
                    <w:rFonts w:ascii="Cambria Math" w:hAnsi="Cambria Math"/>
                  </w:rPr>
                  <m:t>n</m:t>
                </m:r>
              </m:sub>
            </m:sSub>
          </m:e>
        </m:d>
      </m:oMath>
      <w:r>
        <w:t xml:space="preserve"> over the counterfactual time series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sub>
        </m:sSub>
      </m:oMath>
      <w:r>
        <w:t xml:space="preserve"> given the observed pre-shock activity </w:t>
      </w:r>
      <m:oMath>
        <m:sSub>
          <m:sSubPr>
            <m:ctrlPr>
              <w:rPr>
                <w:rFonts w:ascii="Cambria Math" w:hAnsi="Cambria Math"/>
              </w:rPr>
            </m:ctrlPr>
          </m:sSubPr>
          <m:e>
            <m:r>
              <w:rPr>
                <w:rFonts w:ascii="Cambria Math" w:hAnsi="Cambria Math"/>
              </w:rPr>
              <m:t>y</m:t>
            </m:r>
          </m:e>
          <m:sub>
            <m:r>
              <w:rPr>
                <w:rFonts w:ascii="Cambria Math" w:hAnsi="Cambria Math"/>
              </w:rPr>
              <m:t>1</m:t>
            </m:r>
            <m:r>
              <m:rPr>
                <m:sty m:val="p"/>
              </m:rPr>
              <w:rPr>
                <w:rFonts w:ascii="Cambria Math" w:hAnsi="Cambria Math"/>
              </w:rPr>
              <m:t>:</m:t>
            </m:r>
            <m:r>
              <w:rPr>
                <w:rFonts w:ascii="Cambria Math" w:hAnsi="Cambria Math"/>
              </w:rPr>
              <m:t>n</m:t>
            </m:r>
          </m:sub>
        </m:sSub>
      </m:oMath>
      <w:r>
        <w:t>. Finally, we use the posterior predictive samples</w:t>
      </w:r>
      <w:r>
        <w:t xml:space="preserve"> to compute the posterior distribution of the pointwise impact </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t</m:t>
            </m:r>
          </m:sub>
        </m:sSub>
      </m:oMath>
      <w:r>
        <w:t xml:space="preserve"> for each </w:t>
      </w:r>
      <m:oMath>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m</m:t>
        </m:r>
      </m:oMath>
      <w:r>
        <w:t xml:space="preserve"> and the posterior distribution of cumulative impact, summarized by their median, which can be interpreted as the shock level, and its 95% credible intervals. Whe</w:t>
      </w:r>
      <w:r>
        <w:t>n using the described Bayesian methodology to estimate the parameters, this method is usually referred to as Bayesian Structural Time Series (BSTS).</w:t>
      </w:r>
    </w:p>
    <w:p w14:paraId="7CC2856C" w14:textId="77777777" w:rsidR="000D1FC8" w:rsidRDefault="007E4FB8">
      <w:pPr>
        <w:pStyle w:val="Textoindependiente"/>
      </w:pPr>
      <w:r>
        <w:t>This methodology is also capable of providing accurate forecasts, as shown in the next Section. The perform</w:t>
      </w:r>
      <w:r>
        <w:t>ance of this approach is compared to usual time series modelling as ARIMA (see for instance(Shumway and Stoffer 2017)) by means of two commonly used error measures as the root mean square error (RMSE) and the mean absolute percentage error (MAPE), computed</w:t>
      </w:r>
      <w:r>
        <w:t xml:space="preserve"> according to Equations </w:t>
      </w:r>
      <w:hyperlink w:anchor="eq3">
        <w:r>
          <w:rPr>
            <w:rStyle w:val="Hipervnculo"/>
          </w:rPr>
          <w:t>[eq3]</w:t>
        </w:r>
      </w:hyperlink>
      <w:r>
        <w:t xml:space="preserve"> and </w:t>
      </w:r>
      <w:hyperlink w:anchor="eq4">
        <w:r>
          <w:rPr>
            <w:rStyle w:val="Hipervnculo"/>
          </w:rPr>
          <w:t>[eq4]</w:t>
        </w:r>
      </w:hyperlink>
      <w:r>
        <w:t xml:space="preserve"> respectively. We assume that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xml:space="preserve"> periods are forecasted, we denote the observed values </w:t>
      </w:r>
      <m:oMath>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and </w:t>
      </w:r>
      <w:r>
        <w:t xml:space="preserve">the forecasted values </w:t>
      </w:r>
      <m:oMath>
        <m:sSub>
          <m:sSubPr>
            <m:ctrlPr>
              <w:rPr>
                <w:rFonts w:ascii="Cambria Math" w:hAnsi="Cambria Math"/>
              </w:rPr>
            </m:ctrlPr>
          </m:sSubPr>
          <m:e>
            <m:r>
              <w:rPr>
                <w:rFonts w:ascii="Cambria Math" w:hAnsi="Cambria Math"/>
              </w:rPr>
              <m:t>F</m:t>
            </m:r>
          </m:e>
          <m:sub>
            <m:r>
              <w:rPr>
                <w:rFonts w:ascii="Cambria Math" w:hAnsi="Cambria Math"/>
              </w:rPr>
              <m:t>j</m:t>
            </m:r>
          </m:sub>
        </m:sSub>
      </m:oMath>
      <w:r>
        <w:t xml:space="preserve">, with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w:t>
      </w:r>
    </w:p>
    <w:p w14:paraId="7CC2856D" w14:textId="77777777" w:rsidR="000D1FC8" w:rsidRDefault="007E4FB8">
      <w:pPr>
        <w:pStyle w:val="Textoindependiente"/>
      </w:pPr>
      <m:oMathPara>
        <m:oMathParaPr>
          <m:jc m:val="center"/>
        </m:oMathPara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m:rPr>
                          <m:sty m:val="p"/>
                        </m:rPr>
                        <w:rPr>
                          <w:rFonts w:ascii="Cambria Math" w:hAnsi="Cambria Math"/>
                        </w:rPr>
                        <m:t>*</m:t>
                      </m:r>
                    </m:sup>
                  </m:sSup>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e>
                      </m:d>
                    </m:e>
                    <m:sup>
                      <m:r>
                        <w:rPr>
                          <w:rFonts w:ascii="Cambria Math" w:hAnsi="Cambria Math"/>
                        </w:rPr>
                        <m:t>2</m:t>
                      </m:r>
                    </m:sup>
                  </m:sSup>
                </m:e>
              </m:nary>
            </m:e>
          </m:rad>
          <m:r>
            <m:rPr>
              <m:sty m:val="p"/>
            </m:rPr>
            <w:rPr>
              <w:rFonts w:ascii="Cambria Math" w:hAnsi="Cambria Math"/>
            </w:rPr>
            <m:t>,</m:t>
          </m:r>
        </m:oMath>
      </m:oMathPara>
    </w:p>
    <w:p w14:paraId="7CC2856E" w14:textId="77777777" w:rsidR="000D1FC8" w:rsidRDefault="007E4FB8">
      <w:pPr>
        <w:pStyle w:val="FirstParagraph"/>
      </w:pPr>
      <m:oMathPara>
        <m:oMathParaPr>
          <m:jc m:val="center"/>
        </m:oMathParaPr>
        <m:oMath>
          <m:r>
            <w:rPr>
              <w:rFonts w:ascii="Cambria Math" w:hAnsi="Cambria Math"/>
            </w:rPr>
            <m:t>MAPE</m:t>
          </m:r>
          <m:r>
            <m:rPr>
              <m:sty m:val="p"/>
            </m:rPr>
            <w:rPr>
              <w:rFonts w:ascii="Cambria Math" w:hAnsi="Cambria Math"/>
            </w:rPr>
            <m:t>=</m:t>
          </m:r>
          <m:f>
            <m:fPr>
              <m:ctrlPr>
                <w:rPr>
                  <w:rFonts w:ascii="Cambria Math" w:hAnsi="Cambria Math"/>
                </w:rPr>
              </m:ctrlPr>
            </m:fPr>
            <m:num>
              <m:r>
                <w:rPr>
                  <w:rFonts w:ascii="Cambria Math" w:hAnsi="Cambria Math"/>
                </w:rPr>
                <m:t>100</m:t>
              </m:r>
            </m:num>
            <m:den>
              <m:sSup>
                <m:sSupPr>
                  <m:ctrlPr>
                    <w:rPr>
                      <w:rFonts w:ascii="Cambria Math" w:hAnsi="Cambria Math"/>
                    </w:rPr>
                  </m:ctrlPr>
                </m:sSupPr>
                <m:e>
                  <m:r>
                    <w:rPr>
                      <w:rFonts w:ascii="Cambria Math" w:hAnsi="Cambria Math"/>
                    </w:rPr>
                    <m:t>n</m:t>
                  </m:r>
                </m:e>
                <m:sup>
                  <m:r>
                    <m:rPr>
                      <m:sty m:val="p"/>
                    </m:rPr>
                    <w:rPr>
                      <w:rFonts w:ascii="Cambria Math" w:hAnsi="Cambria Math"/>
                    </w:rPr>
                    <m:t>*</m:t>
                  </m:r>
                </m:sup>
              </m:sSup>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m:rPr>
                      <m:sty m:val="p"/>
                    </m:rPr>
                    <w:rPr>
                      <w:rFonts w:ascii="Cambria Math" w:hAnsi="Cambria Math"/>
                    </w:rPr>
                    <m:t>*</m:t>
                  </m:r>
                </m:sup>
              </m:sSup>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num>
                    <m:den>
                      <m:sSub>
                        <m:sSubPr>
                          <m:ctrlPr>
                            <w:rPr>
                              <w:rFonts w:ascii="Cambria Math" w:hAnsi="Cambria Math"/>
                            </w:rPr>
                          </m:ctrlPr>
                        </m:sSubPr>
                        <m:e>
                          <m:r>
                            <w:rPr>
                              <w:rFonts w:ascii="Cambria Math" w:hAnsi="Cambria Math"/>
                            </w:rPr>
                            <m:t>O</m:t>
                          </m:r>
                        </m:e>
                        <m:sub>
                          <m:r>
                            <w:rPr>
                              <w:rFonts w:ascii="Cambria Math" w:hAnsi="Cambria Math"/>
                            </w:rPr>
                            <m:t>j</m:t>
                          </m:r>
                        </m:sub>
                      </m:sSub>
                    </m:den>
                  </m:f>
                </m:e>
              </m:d>
            </m:e>
          </m:nary>
          <m:r>
            <m:rPr>
              <m:sty m:val="p"/>
            </m:rPr>
            <w:rPr>
              <w:rFonts w:ascii="Cambria Math" w:hAnsi="Cambria Math"/>
            </w:rPr>
            <m:t>.</m:t>
          </m:r>
        </m:oMath>
      </m:oMathPara>
    </w:p>
    <w:p w14:paraId="7CC2856F" w14:textId="77777777" w:rsidR="000D1FC8" w:rsidRDefault="007E4FB8">
      <w:pPr>
        <w:pStyle w:val="Ttulo2"/>
      </w:pPr>
      <w:bookmarkStart w:id="5" w:name="X3d3a62a71bc7577f5f6b6acc6a9e45c7d95ec32"/>
      <w:bookmarkEnd w:id="4"/>
      <w:r>
        <w:t>Implications for pre-processing data net of a shock impact in GLM frequency modelling</w:t>
      </w:r>
    </w:p>
    <w:p w14:paraId="7CC28570" w14:textId="77777777" w:rsidR="000D1FC8" w:rsidRDefault="007E4FB8">
      <w:pPr>
        <w:pStyle w:val="FirstParagraph"/>
      </w:pPr>
      <w:r>
        <w:t>The BSTS estimated median shock level can be used later to pre-process data when filtering out the effect of the pandemic shock impact. In time series analysis decomposit</w:t>
      </w:r>
      <w:r>
        <w:t xml:space="preserve">ion, the value equal to the estimated factor impact can be extracted from the series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before modeling future trends. In predictive modeling, when individual data on observed claims and claimant covariate information is available, our estimated shock le</w:t>
      </w:r>
      <w:r>
        <w:t>vel can be combined with individual exposures so that the expected frequency claim corresponds to what would be expected once the impact of the pandemic effect is removed.</w:t>
      </w:r>
    </w:p>
    <w:p w14:paraId="7CC28571" w14:textId="77777777" w:rsidR="000D1FC8" w:rsidRDefault="007E4FB8">
      <w:pPr>
        <w:pStyle w:val="Textoindependiente"/>
      </w:pPr>
      <w:r>
        <w:t xml:space="preserve">Let us introduce the notation of cross-sectional data at time </w:t>
      </w:r>
      <m:oMath>
        <m:r>
          <w:rPr>
            <w:rFonts w:ascii="Cambria Math" w:hAnsi="Cambria Math"/>
          </w:rPr>
          <m:t>T</m:t>
        </m:r>
      </m:oMath>
      <w:r>
        <w:t xml:space="preserve">. Suppose that </w:t>
      </w: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T</m:t>
            </m:r>
          </m:sub>
        </m:sSub>
      </m:oMath>
      <w:r>
        <w:t xml:space="preserve"> is the observed number of claims for policyholder </w:t>
      </w:r>
      <m:oMath>
        <m:r>
          <w:rPr>
            <w:rFonts w:ascii="Cambria Math" w:hAnsi="Cambria Math"/>
          </w:rPr>
          <m:t>i</m:t>
        </m:r>
      </m:oMath>
      <w:r>
        <w:t xml:space="preserve"> in year </w:t>
      </w:r>
      <m:oMath>
        <m:r>
          <w:rPr>
            <w:rFonts w:ascii="Cambria Math" w:hAnsi="Cambria Math"/>
          </w:rPr>
          <m:t>T</m:t>
        </m:r>
      </m:oMath>
      <w:r>
        <w:t xml:space="preserve">, where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number of policyholders in year </w:t>
      </w:r>
      <m:oMath>
        <m:r>
          <w:rPr>
            <w:rFonts w:ascii="Cambria Math" w:hAnsi="Cambria Math"/>
          </w:rPr>
          <m:t>T</m:t>
        </m:r>
      </m:oMath>
      <w:r>
        <w:t xml:space="preserve">. Assume that a vector of </w:t>
      </w:r>
      <m:oMath>
        <m:r>
          <w:rPr>
            <w:rFonts w:ascii="Cambria Math" w:hAnsi="Cambria Math"/>
          </w:rPr>
          <m:t>K</m:t>
        </m:r>
      </m:oMath>
      <w:r>
        <w:t xml:space="preserve"> characteristics </w:t>
      </w:r>
      <m:oMath>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is available for individual </w:t>
      </w:r>
      <m:oMath>
        <m:r>
          <w:rPr>
            <w:rFonts w:ascii="Cambria Math" w:hAnsi="Cambria Math"/>
          </w:rPr>
          <m:t>i</m:t>
        </m:r>
      </m:oMath>
      <w:r>
        <w:t xml:space="preserve"> in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denotes th</w:t>
      </w:r>
      <w:r>
        <w:t xml:space="preserve">e exposure, i.e. the fraction of the whole year when the policy was valid, then predictive modeling of the </w:t>
      </w:r>
      <w:r>
        <w:lastRenderedPageBreak/>
        <w:t xml:space="preserve">expected number of claims usually establishes that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e>
        </m:d>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iT</m:t>
                </m:r>
              </m:sub>
            </m:sSub>
          </m:e>
        </m:d>
      </m:oMath>
      <w:r>
        <w:t xml:space="preserve">, where </w:t>
      </w:r>
      <m:oMath>
        <m:r>
          <w:rPr>
            <w:rFonts w:ascii="Cambria Math" w:hAnsi="Cambria Math"/>
          </w:rPr>
          <m:t>μ</m:t>
        </m:r>
      </m:oMath>
      <w:r>
        <w:t xml:space="preserve"> is a function that links the effect of covariates </w:t>
      </w:r>
      <w:r>
        <w:t xml:space="preserve">to the expected number of claims, provided that this effect is proportional to exposure (Wüthrich and Merz 2023). In the Poisson model, </w:t>
      </w:r>
      <m:oMath>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iT</m:t>
                </m:r>
              </m:sub>
            </m:sSub>
          </m:e>
        </m:d>
        <m:r>
          <m:rPr>
            <m:sty m:val="p"/>
          </m:rP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with </w:t>
      </w:r>
      <m:oMath>
        <m:r>
          <w:rPr>
            <w:rFonts w:ascii="Cambria Math" w:hAnsi="Cambria Math"/>
          </w:rPr>
          <m:t>β</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e>
        </m:d>
      </m:oMath>
      <w:r>
        <w:t xml:space="preserve"> a vector of parameters to be estimated,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an intercept.</w:t>
      </w:r>
    </w:p>
    <w:p w14:paraId="7CC28572" w14:textId="77777777" w:rsidR="000D1FC8" w:rsidRDefault="007E4FB8">
      <w:pPr>
        <w:pStyle w:val="Textoindependiente"/>
      </w:pPr>
      <w:r>
        <w:t>If the impac</w:t>
      </w:r>
      <w:r>
        <w:t>t of the pandemic shock has to be eliminated from these data for predictive modeling purpose and comparison between years, then the expected number of claims should be affected by a change and that can easily be done through the exposure component. Therefo</w:t>
      </w:r>
      <w:r>
        <w:t xml:space="preserve">re new individual exposures </w:t>
      </w:r>
      <m:oMath>
        <m:sSubSup>
          <m:sSubSupPr>
            <m:ctrlPr>
              <w:rPr>
                <w:rFonts w:ascii="Cambria Math" w:hAnsi="Cambria Math"/>
              </w:rPr>
            </m:ctrlPr>
          </m:sSubSupPr>
          <m:e>
            <m:r>
              <w:rPr>
                <w:rFonts w:ascii="Cambria Math" w:hAnsi="Cambria Math"/>
              </w:rPr>
              <m:t>ν</m:t>
            </m:r>
          </m:e>
          <m:sub>
            <m:r>
              <w:rPr>
                <w:rFonts w:ascii="Cambria Math" w:hAnsi="Cambria Math"/>
              </w:rPr>
              <m:t>iT</m:t>
            </m:r>
          </m:sub>
          <m:sup>
            <m:r>
              <m:rPr>
                <m:sty m:val="p"/>
              </m:rPr>
              <w:rPr>
                <w:rFonts w:ascii="Cambria Math" w:hAnsi="Cambria Math"/>
              </w:rPr>
              <m:t>*</m:t>
            </m:r>
          </m:sup>
        </m:sSubSup>
      </m:oMath>
      <w:r>
        <w:t xml:space="preserve"> can be defined so that</w:t>
      </w:r>
    </w:p>
    <w:p w14:paraId="7CC28573" w14:textId="77777777" w:rsidR="000D1FC8" w:rsidRDefault="007E4FB8">
      <w:pPr>
        <w:pStyle w:val="Textoindependiente"/>
      </w:pPr>
      <m:oMathPara>
        <m:oMathParaPr>
          <m:jc m:val="center"/>
        </m:oMathParaPr>
        <m:oMath>
          <m:sSubSup>
            <m:sSubSupPr>
              <m:ctrlPr>
                <w:rPr>
                  <w:rFonts w:ascii="Cambria Math" w:hAnsi="Cambria Math"/>
                </w:rPr>
              </m:ctrlPr>
            </m:sSubSupPr>
            <m:e>
              <m:r>
                <w:rPr>
                  <w:rFonts w:ascii="Cambria Math" w:hAnsi="Cambria Math"/>
                </w:rPr>
                <m:t>ν</m:t>
              </m:r>
            </m:e>
            <m:sub>
              <m:r>
                <w:rPr>
                  <w:rFonts w:ascii="Cambria Math" w:hAnsi="Cambria Math"/>
                </w:rPr>
                <m:t>iT</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oMath>
      </m:oMathPara>
    </w:p>
    <w:p w14:paraId="7CC28574" w14:textId="77777777" w:rsidR="000D1FC8" w:rsidRDefault="007E4FB8">
      <w:pPr>
        <w:pStyle w:val="FirstParagraph"/>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is obtained from the Bayesian estimate described in the previous section, which can be expressed as a percent change, </w:t>
      </w:r>
      <m:oMath>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Note that </w:t>
      </w:r>
      <m:oMath>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w:t>
      </w:r>
      <w:r>
        <w:t xml:space="preserve">refers to the cumulated posterior distribution median relative change. A positive </w:t>
      </w:r>
      <m:oMath>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means that the shock has produced a excess of counts, so this corresponds to an increased exposure. A negative </w:t>
      </w:r>
      <m:oMath>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means that the shock has reduced the counts, so this </w:t>
      </w:r>
      <w:r>
        <w:t xml:space="preserve">corresponds to a decreased exposure. Note that </w:t>
      </w:r>
      <m:oMath>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may be a global correction that is equal for all individuals, or may have been calculated by subgroups, so that it may change by individual. We have dropped the </w:t>
      </w:r>
      <m:oMath>
        <m:r>
          <w:rPr>
            <w:rFonts w:ascii="Cambria Math" w:hAnsi="Cambria Math"/>
          </w:rPr>
          <m:t>i</m:t>
        </m:r>
      </m:oMath>
      <w:r>
        <w:t xml:space="preserve"> subindex to present the methodology with</w:t>
      </w:r>
      <w:r>
        <w:t>out a complex notation.</w:t>
      </w:r>
    </w:p>
    <w:p w14:paraId="7CC28575" w14:textId="77777777" w:rsidR="000D1FC8" w:rsidRDefault="007E4FB8">
      <w:pPr>
        <w:pStyle w:val="Textoindependiente"/>
      </w:pPr>
      <w:r>
        <w:t xml:space="preserve">Once the corrected exposures, </w:t>
      </w:r>
      <m:oMath>
        <m:sSubSup>
          <m:sSubSupPr>
            <m:ctrlPr>
              <w:rPr>
                <w:rFonts w:ascii="Cambria Math" w:hAnsi="Cambria Math"/>
              </w:rPr>
            </m:ctrlPr>
          </m:sSubSupPr>
          <m:e>
            <m:r>
              <w:rPr>
                <w:rFonts w:ascii="Cambria Math" w:hAnsi="Cambria Math"/>
              </w:rPr>
              <m:t>ν</m:t>
            </m:r>
          </m:e>
          <m:sub>
            <m:r>
              <w:rPr>
                <w:rFonts w:ascii="Cambria Math" w:hAnsi="Cambria Math"/>
              </w:rPr>
              <m:t>iT</m:t>
            </m:r>
          </m:sub>
          <m:sup>
            <m:r>
              <m:rPr>
                <m:sty m:val="p"/>
              </m:rPr>
              <w:rPr>
                <w:rFonts w:ascii="Cambria Math" w:hAnsi="Cambria Math"/>
              </w:rPr>
              <m:t>*</m:t>
            </m:r>
          </m:sup>
        </m:sSubSup>
      </m:oMath>
      <w:r>
        <w:t>, are used in the Poisson model estimation process, the model outcome is net of the pandemic shock impact. An illustration below shows how this can be implemented.</w:t>
      </w:r>
    </w:p>
    <w:p w14:paraId="7CC28576" w14:textId="77777777" w:rsidR="000D1FC8" w:rsidRDefault="007E4FB8">
      <w:pPr>
        <w:pStyle w:val="Textoindependiente"/>
      </w:pPr>
      <w:r>
        <w:t>In our illustration, we have in</w:t>
      </w:r>
      <w:r>
        <w:t>corporated the Bayesian estimates in the individual exposures and have fitted Poisson regression models for claims frequency in a simple example with portfolio data sets before, during and after the pandemic shock. We compare the analysis of single-year ve</w:t>
      </w:r>
      <w:r>
        <w:t>rsus multiple year predictive modeling, with and without the inclusion of the shock correction, showing that predictive claiming models for pre- and post-pandemic yearly portfolios can really be comparable. Some additional results such as the comparison of</w:t>
      </w:r>
      <w:r>
        <w:t xml:space="preserve"> the distribution of the predicted number of claims per individual with and without the pandemic effect reveals a persisting change in the distribution. The analysis by groups of individuals, also shows that pre-processing before eliminating the pandemic e</w:t>
      </w:r>
      <w:r>
        <w:t>ffect need not be homogeneous for the whole portfolio.</w:t>
      </w:r>
    </w:p>
    <w:p w14:paraId="7CC28577" w14:textId="77777777" w:rsidR="000D1FC8" w:rsidRDefault="007E4FB8">
      <w:pPr>
        <w:pStyle w:val="Textoindependiente"/>
      </w:pPr>
      <w:r>
        <w:t>Figure </w:t>
      </w:r>
      <w:hyperlink w:anchor="fig0">
        <w:r>
          <w:rPr>
            <w:rStyle w:val="Hipervnculo"/>
          </w:rPr>
          <w:t>1</w:t>
        </w:r>
      </w:hyperlink>
      <w:r>
        <w:t xml:space="preserve"> provides a summary of our approach.</w:t>
      </w:r>
    </w:p>
    <w:p w14:paraId="7CC28578" w14:textId="77777777" w:rsidR="000D1FC8" w:rsidRDefault="007E4FB8">
      <w:pPr>
        <w:pStyle w:val="CaptionedFigure"/>
      </w:pPr>
      <w:bookmarkStart w:id="6" w:name="fig0"/>
      <w:r>
        <w:rPr>
          <w:noProof/>
        </w:rPr>
        <w:lastRenderedPageBreak/>
        <w:drawing>
          <wp:inline distT="0" distB="0" distL="0" distR="0" wp14:anchorId="7CC286AA" wp14:editId="7CC286AB">
            <wp:extent cx="2879999" cy="1799999"/>
            <wp:effectExtent l="0" t="0" r="0" b="0"/>
            <wp:docPr id="25" name="Picture" descr="Methodology to test the impact of a shock and filter the data afterwards."/>
            <wp:cNvGraphicFramePr/>
            <a:graphic xmlns:a="http://schemas.openxmlformats.org/drawingml/2006/main">
              <a:graphicData uri="http://schemas.openxmlformats.org/drawingml/2006/picture">
                <pic:pic xmlns:pic="http://schemas.openxmlformats.org/drawingml/2006/picture">
                  <pic:nvPicPr>
                    <pic:cNvPr id="26" name="Picture" descr="Diagrama1.png"/>
                    <pic:cNvPicPr>
                      <a:picLocks noChangeAspect="1" noChangeArrowheads="1"/>
                    </pic:cNvPicPr>
                  </pic:nvPicPr>
                  <pic:blipFill>
                    <a:blip r:embed="rId7"/>
                    <a:stretch>
                      <a:fillRect/>
                    </a:stretch>
                  </pic:blipFill>
                  <pic:spPr bwMode="auto">
                    <a:xfrm>
                      <a:off x="0" y="0"/>
                      <a:ext cx="2879999" cy="1799999"/>
                    </a:xfrm>
                    <a:prstGeom prst="rect">
                      <a:avLst/>
                    </a:prstGeom>
                    <a:noFill/>
                    <a:ln w="9525">
                      <a:noFill/>
                      <a:headEnd/>
                      <a:tailEnd/>
                    </a:ln>
                  </pic:spPr>
                </pic:pic>
              </a:graphicData>
            </a:graphic>
          </wp:inline>
        </w:drawing>
      </w:r>
      <w:bookmarkEnd w:id="6"/>
    </w:p>
    <w:p w14:paraId="7CC28579" w14:textId="214E36C8" w:rsidR="000D1FC8" w:rsidRDefault="00E865CB">
      <w:pPr>
        <w:pStyle w:val="ImageCaption"/>
      </w:pPr>
      <w:r>
        <w:t xml:space="preserve">Figure 1: </w:t>
      </w:r>
      <w:r w:rsidR="007E4FB8">
        <w:t>Methodology to test the impact of a shock and filter the data afterwards.</w:t>
      </w:r>
    </w:p>
    <w:p w14:paraId="7CC2857A" w14:textId="77777777" w:rsidR="000D1FC8" w:rsidRDefault="007E4FB8">
      <w:pPr>
        <w:pStyle w:val="Ttulo2"/>
      </w:pPr>
      <w:bookmarkStart w:id="7" w:name="data"/>
      <w:bookmarkEnd w:id="5"/>
      <w:r>
        <w:t>Data</w:t>
      </w:r>
    </w:p>
    <w:p w14:paraId="7CC2857B" w14:textId="77777777" w:rsidR="000D1FC8" w:rsidRDefault="007E4FB8">
      <w:pPr>
        <w:pStyle w:val="FirstParagraph"/>
      </w:pPr>
      <w:r>
        <w:t>We observed the</w:t>
      </w:r>
      <w:r>
        <w:t xml:space="preserve"> weekly number of medical claims associated to a private health insurance scheme from one of the biggest companies in Spain from the beginning of 2019 to the end of 2022, by type of service, province, sex and age group. The overall monthly number of contra</w:t>
      </w:r>
      <w:r>
        <w:t>cts was also taken into account, to control for observed trends unrelated to pandemic claiming consequences. To make the latter weekly, a linear interpolation process was performed.</w:t>
      </w:r>
    </w:p>
    <w:p w14:paraId="7CC2857C" w14:textId="77777777" w:rsidR="000D1FC8" w:rsidRDefault="007E4FB8">
      <w:pPr>
        <w:pStyle w:val="Textoindependiente"/>
      </w:pPr>
      <w:r>
        <w:t>A weekly frequency count refers to the number of claims reported to the in</w:t>
      </w:r>
      <w:r>
        <w:t>surance company during one week. A claim refers to the use of a medical service, such as a visit to a general practitioner, a blood-test, a x-ray, a surgery, a visit to a specialist, the use of an ambulance or a treatment in an emergency room or a hospital</w:t>
      </w:r>
      <w:r>
        <w:t xml:space="preserve"> that was covered by the insurance policy.</w:t>
      </w:r>
    </w:p>
    <w:p w14:paraId="7CC2857D" w14:textId="77777777" w:rsidR="000D1FC8" w:rsidRDefault="007E4FB8">
      <w:pPr>
        <w:pStyle w:val="Textoindependiente"/>
      </w:pPr>
      <w:r>
        <w:t xml:space="preserve">The insurer providing the data was affected by the enforcement of social distance measures adopted as in many other countries that actually caused a sudden decrease in the health insurance frequency of claims and </w:t>
      </w:r>
      <w:r>
        <w:t>the decrease was substantial due to the fact that during lock-downs in 2020 citizens reduced their normal activities and canceled preventive medical visits, while medical services were mostly dedicated to the COVID-19. Simultaneously, the insurance company</w:t>
      </w:r>
      <w:r>
        <w:t xml:space="preserve"> portfolio initially diminished in 2020, possibly also affected by the impact of some policyholders that died during the pandemic, and grew substantially as in other European countries, something that is explained by the existence of a saturated public hea</w:t>
      </w:r>
      <w:r>
        <w:t>lth system which worried many citizens who thought that they should underwrite a private health insurance on top of access to public health to protect them and their families in case of a global medical service collapse. Although private hospitals which ar</w:t>
      </w:r>
      <w:r>
        <w:t>e accessible for holders of a health insurance contract were also relatively saturated during the pandemic, COVID-19 mainly stroke public hospitals.</w:t>
      </w:r>
    </w:p>
    <w:p w14:paraId="7CC2857E" w14:textId="77777777" w:rsidR="000D1FC8" w:rsidRDefault="007E4FB8">
      <w:pPr>
        <w:pStyle w:val="Textoindependiente"/>
      </w:pPr>
      <w:r>
        <w:t xml:space="preserve">The immediate impact of the COVID-19 pandemic is quantified by comparing the number of claims in the years </w:t>
      </w:r>
      <w:r>
        <w:t xml:space="preserve">2019 and 2020, while the medium and long term consequences are quantified by comparing the number of claims in the years 2019, 2021 and 2022. In order to illustrate the ability of the proposed methodology to </w:t>
      </w:r>
      <w:r>
        <w:lastRenderedPageBreak/>
        <w:t>quantify the impact of the pandemic over the usa</w:t>
      </w:r>
      <w:r>
        <w:t>ge of private health services, the next section describes in detail the evolution of medical claims globally, by sex, among people over 60 years old and in the three provinces with largest Spanish cities (Madrid, Barcelona and Valencia). Additionally, some</w:t>
      </w:r>
      <w:r>
        <w:t xml:space="preserve"> particular services of special interest are also analyzed.</w:t>
      </w:r>
    </w:p>
    <w:p w14:paraId="7CC2857F" w14:textId="77777777" w:rsidR="000D1FC8" w:rsidRDefault="007E4FB8">
      <w:pPr>
        <w:pStyle w:val="Textoindependiente"/>
      </w:pPr>
      <w:r>
        <w:t>In addition to what is shown here, two different scenarios were also considered regarding the definition of the post-pandemic period to be compared with the regular period (2019-01-01 to 2020-03-1</w:t>
      </w:r>
      <w:r>
        <w:t>3) and the pandemic period (2020-03-14 to 2020-06-21). The first approach to the post-pandemic period definition is to compare the period 2019-01-01 to 2020-06-21 against the period 2020-06-22 to 2021-12-31. The second approach is to exclude the pandemic p</w:t>
      </w:r>
      <w:r>
        <w:t>eriod, comparing the period 2019-01-01 to 2020-03-13 against 2020-06-21 to 2021-12-31. These results are available from the authors.</w:t>
      </w:r>
    </w:p>
    <w:p w14:paraId="7CC28580" w14:textId="77777777" w:rsidR="000D1FC8" w:rsidRDefault="007E4FB8">
      <w:pPr>
        <w:pStyle w:val="Textoindependiente"/>
      </w:pPr>
      <w:r>
        <w:t>All the R code used to generate the results and figures described in the next section are available in the GitHub repositor</w:t>
      </w:r>
      <w:r>
        <w:t xml:space="preserve">y </w:t>
      </w:r>
      <w:hyperlink r:id="rId8">
        <w:r>
          <w:rPr>
            <w:rStyle w:val="Hipervnculo"/>
          </w:rPr>
          <w:t>https://github.com/dmorinya/XxxxBSTS</w:t>
        </w:r>
      </w:hyperlink>
      <w:r>
        <w:t xml:space="preserve"> results can be reproduced with the cardiology subset. The rest of data cannot be made publicly available due to owner restrictio</w:t>
      </w:r>
      <w:r>
        <w:t xml:space="preserve">ns. All coding has been done in R software(R Core Team 2019), using the packages </w:t>
      </w:r>
      <w:r>
        <w:rPr>
          <w:i/>
          <w:iCs/>
        </w:rPr>
        <w:t>bsts</w:t>
      </w:r>
      <w:r>
        <w:t xml:space="preserve">(Scott and Varian 2014) and </w:t>
      </w:r>
      <w:r>
        <w:rPr>
          <w:i/>
          <w:iCs/>
        </w:rPr>
        <w:t>CausalImpact</w:t>
      </w:r>
      <w:r>
        <w:t>(Brodersen et al. 2015).</w:t>
      </w:r>
    </w:p>
    <w:p w14:paraId="7CC28581" w14:textId="4EAC1BC5" w:rsidR="000D1FC8" w:rsidRDefault="007E4FB8">
      <w:pPr>
        <w:pStyle w:val="Textoindependiente"/>
      </w:pPr>
      <w:r>
        <w:rPr>
          <w:noProof/>
        </w:rPr>
        <w:drawing>
          <wp:inline distT="0" distB="0" distL="0" distR="0" wp14:anchorId="7CC286AC" wp14:editId="7CC286AD">
            <wp:extent cx="5334000" cy="2000250"/>
            <wp:effectExtent l="0" t="0" r="0" b="0"/>
            <wp:docPr id="31" name="Picture" descr="image"/>
            <wp:cNvGraphicFramePr/>
            <a:graphic xmlns:a="http://schemas.openxmlformats.org/drawingml/2006/main">
              <a:graphicData uri="http://schemas.openxmlformats.org/drawingml/2006/picture">
                <pic:pic xmlns:pic="http://schemas.openxmlformats.org/drawingml/2006/picture">
                  <pic:nvPicPr>
                    <pic:cNvPr id="32" name="Picture" descr="arima_global_prediction.png"/>
                    <pic:cNvPicPr>
                      <a:picLocks noChangeAspect="1" noChangeArrowheads="1"/>
                    </pic:cNvPicPr>
                  </pic:nvPicPr>
                  <pic:blipFill>
                    <a:blip r:embed="rId9"/>
                    <a:stretch>
                      <a:fillRect/>
                    </a:stretch>
                  </pic:blipFill>
                  <pic:spPr bwMode="auto">
                    <a:xfrm>
                      <a:off x="0" y="0"/>
                      <a:ext cx="5334000" cy="2000250"/>
                    </a:xfrm>
                    <a:prstGeom prst="rect">
                      <a:avLst/>
                    </a:prstGeom>
                    <a:noFill/>
                    <a:ln w="9525">
                      <a:noFill/>
                      <a:headEnd/>
                      <a:tailEnd/>
                    </a:ln>
                  </pic:spPr>
                </pic:pic>
              </a:graphicData>
            </a:graphic>
          </wp:inline>
        </w:drawing>
      </w:r>
      <w:r w:rsidR="00E865CB" w:rsidRPr="00E865CB">
        <w:rPr>
          <w:i/>
          <w:iCs/>
        </w:rPr>
        <w:t xml:space="preserve">Figure 2: </w:t>
      </w:r>
      <w:r w:rsidR="00E865CB" w:rsidRPr="00E865CB">
        <w:rPr>
          <w:i/>
          <w:iCs/>
        </w:rPr>
        <w:t>Number of observed weekly claims (black) and ARIMA forecast for the period July-December 2022 (red), 95% confidence bands in light blue.</w:t>
      </w:r>
    </w:p>
    <w:p w14:paraId="7CC28582" w14:textId="2A0141CF" w:rsidR="000D1FC8" w:rsidRPr="00E865CB" w:rsidRDefault="007E4FB8">
      <w:pPr>
        <w:pStyle w:val="Textoindependiente"/>
        <w:rPr>
          <w:i/>
          <w:iCs/>
        </w:rPr>
      </w:pPr>
      <w:r>
        <w:rPr>
          <w:noProof/>
        </w:rPr>
        <w:lastRenderedPageBreak/>
        <w:drawing>
          <wp:inline distT="0" distB="0" distL="0" distR="0" wp14:anchorId="7CC286AE" wp14:editId="7CC286AF">
            <wp:extent cx="5334000" cy="2000250"/>
            <wp:effectExtent l="0" t="0" r="0" b="0"/>
            <wp:docPr id="34" name="Picture" descr="image"/>
            <wp:cNvGraphicFramePr/>
            <a:graphic xmlns:a="http://schemas.openxmlformats.org/drawingml/2006/main">
              <a:graphicData uri="http://schemas.openxmlformats.org/drawingml/2006/picture">
                <pic:pic xmlns:pic="http://schemas.openxmlformats.org/drawingml/2006/picture">
                  <pic:nvPicPr>
                    <pic:cNvPr id="35" name="Picture" descr="bsts_global_prediction.png"/>
                    <pic:cNvPicPr>
                      <a:picLocks noChangeAspect="1" noChangeArrowheads="1"/>
                    </pic:cNvPicPr>
                  </pic:nvPicPr>
                  <pic:blipFill>
                    <a:blip r:embed="rId10"/>
                    <a:stretch>
                      <a:fillRect/>
                    </a:stretch>
                  </pic:blipFill>
                  <pic:spPr bwMode="auto">
                    <a:xfrm>
                      <a:off x="0" y="0"/>
                      <a:ext cx="5334000" cy="2000250"/>
                    </a:xfrm>
                    <a:prstGeom prst="rect">
                      <a:avLst/>
                    </a:prstGeom>
                    <a:noFill/>
                    <a:ln w="9525">
                      <a:noFill/>
                      <a:headEnd/>
                      <a:tailEnd/>
                    </a:ln>
                  </pic:spPr>
                </pic:pic>
              </a:graphicData>
            </a:graphic>
          </wp:inline>
        </w:drawing>
      </w:r>
      <w:r w:rsidR="00E865CB" w:rsidRPr="00E865CB">
        <w:rPr>
          <w:i/>
          <w:iCs/>
        </w:rPr>
        <w:t xml:space="preserve">Figure 3: </w:t>
      </w:r>
      <w:r w:rsidR="00E865CB" w:rsidRPr="00E865CB">
        <w:rPr>
          <w:i/>
          <w:iCs/>
        </w:rPr>
        <w:t>Number of observed weekly claims (black) and BSTS forecast for the period July-December 2022 (red), 95% credible bands in light blue.</w:t>
      </w:r>
    </w:p>
    <w:p w14:paraId="7CC28583" w14:textId="77777777" w:rsidR="000D1FC8" w:rsidRDefault="007E4FB8">
      <w:pPr>
        <w:pStyle w:val="Ttulo1"/>
      </w:pPr>
      <w:bookmarkStart w:id="8" w:name="results"/>
      <w:bookmarkEnd w:id="7"/>
      <w:bookmarkEnd w:id="3"/>
      <w:r>
        <w:t>Results</w:t>
      </w:r>
    </w:p>
    <w:p w14:paraId="7CC28584" w14:textId="77777777" w:rsidR="000D1FC8" w:rsidRDefault="007E4FB8">
      <w:pPr>
        <w:pStyle w:val="FirstParagraph"/>
      </w:pPr>
      <w:r>
        <w:t>Although a very simplistic approach to quantifying the impact of the COVID-19 pandemic over th</w:t>
      </w:r>
      <w:r>
        <w:t>e usage of health insurance associated services could be just to describe the reduction in claims frequency observed in 2020 with respect to 2019 and the growth observed in 2021 and 2022 also with respect to 2019, it would be complicated to use this inform</w:t>
      </w:r>
      <w:r>
        <w:t>ation to forecast the future behavior of the number of claims. In our context, we could just say that in 2019 a total number of 11,754,419 claims were observed, while only 10,305,088 were observed in 2020, 13,337,053 in 2021 and 14,129,286 in 2022. Note th</w:t>
      </w:r>
      <w:r>
        <w:t>at this figure refers to the whole portfolio of a large insurance company and the definition of a claim is any medical service provided, which can be a blood test. Overall, the global figures indicate that a decrease of 12% was observed in 2020 and an incr</w:t>
      </w:r>
      <w:r>
        <w:t>ease of around 13% was observed in 2021 compared to 2019, and that the increase in 2022 compared to 2019 is over 20%. However, it is not possible to go any further from here.</w:t>
      </w:r>
    </w:p>
    <w:p w14:paraId="7CC28585" w14:textId="77777777" w:rsidR="000D1FC8" w:rsidRDefault="007E4FB8">
      <w:pPr>
        <w:pStyle w:val="Textoindependiente"/>
      </w:pPr>
      <w:r>
        <w:t>A more sophisticated approach that would allow us to get a forecast of the future</w:t>
      </w:r>
      <w:r>
        <w:t xml:space="preserve"> behavior can be the classical ARIMA time series models, ignoring the fact that the original series is not stationary (Kwiatkowski–Phillips–Schmidt–Shin test p-value of 0.02) and it is not clear how to make it stationary using the Box-Jenkins methodology. </w:t>
      </w:r>
      <w:r>
        <w:t>Fitting the best ARIMA model according to the Akaike’s Information Criterion (AIC) to the period January 2019 to June 2022, which is an AR(1), the produced weakly frequency of claims forecast for the period July 2022 to December 2022 is shown in Figure </w:t>
      </w:r>
      <w:hyperlink w:anchor="fig1">
        <w:r>
          <w:rPr>
            <w:rStyle w:val="Hipervnculo"/>
          </w:rPr>
          <w:t>[fig1]</w:t>
        </w:r>
      </w:hyperlink>
      <w:r>
        <w:t>.</w:t>
      </w:r>
    </w:p>
    <w:p w14:paraId="7CC28586" w14:textId="77777777" w:rsidR="000D1FC8" w:rsidRDefault="007E4FB8">
      <w:pPr>
        <w:pStyle w:val="Textoindependiente"/>
      </w:pPr>
      <w:r>
        <w:t>Figure </w:t>
      </w:r>
      <w:hyperlink w:anchor="fig1">
        <w:r>
          <w:rPr>
            <w:rStyle w:val="Hipervnculo"/>
          </w:rPr>
          <w:t>[fig1]</w:t>
        </w:r>
      </w:hyperlink>
      <w:r>
        <w:t xml:space="preserve"> </w:t>
      </w:r>
      <w:r>
        <w:t>shows that the ARIMA based forecast is only capable of capturing the mean of the process, but at the price of large discrepancies between observed and forecasted values (RMSE of 50,094 and MAPE of 17.28%). The forecast for the same period provided by the p</w:t>
      </w:r>
      <w:r>
        <w:t>roposed BSTS approach in Section </w:t>
      </w:r>
      <w:hyperlink w:anchor="methodsBSTS">
        <w:r>
          <w:rPr>
            <w:rStyle w:val="Hipervnculo"/>
          </w:rPr>
          <w:t>2.1</w:t>
        </w:r>
      </w:hyperlink>
      <w:r>
        <w:t xml:space="preserve"> is shown in Figure </w:t>
      </w:r>
      <w:hyperlink w:anchor="fig2">
        <w:r>
          <w:rPr>
            <w:rStyle w:val="Hipervnculo"/>
          </w:rPr>
          <w:t>[fig2]</w:t>
        </w:r>
      </w:hyperlink>
      <w:r>
        <w:t>.</w:t>
      </w:r>
    </w:p>
    <w:p w14:paraId="7CC28587" w14:textId="77777777" w:rsidR="000D1FC8" w:rsidRDefault="007E4FB8">
      <w:pPr>
        <w:pStyle w:val="Textoindependiente"/>
      </w:pPr>
      <w:r>
        <w:lastRenderedPageBreak/>
        <w:t>It is clear from Figure </w:t>
      </w:r>
      <w:hyperlink w:anchor="fig2">
        <w:r>
          <w:rPr>
            <w:rStyle w:val="Hipervnculo"/>
          </w:rPr>
          <w:t>[fig2]</w:t>
        </w:r>
      </w:hyperlink>
      <w:r>
        <w:t xml:space="preserve"> that the forecast produced by the proposed approach is much more accurate than that provided by the classical approach. In this case, the RMSE is around 48,388 and the MAPE is around 15.59%,</w:t>
      </w:r>
      <w:r>
        <w:t xml:space="preserve"> in both cases the error is lower than in the previous classical ARIMA based approach.</w:t>
      </w:r>
    </w:p>
    <w:p w14:paraId="7CC28588" w14:textId="77777777" w:rsidR="000D1FC8" w:rsidRDefault="007E4FB8">
      <w:pPr>
        <w:pStyle w:val="Textoindependiente"/>
      </w:pPr>
      <w:r>
        <w:t>Table </w:t>
      </w:r>
      <w:hyperlink w:anchor="tab3">
        <w:r>
          <w:rPr>
            <w:rStyle w:val="Hipervnculo"/>
          </w:rPr>
          <w:t>[tab3]</w:t>
        </w:r>
      </w:hyperlink>
      <w:r>
        <w:t xml:space="preserve"> presents the estimated effect of the pandemic shock in the weekly time series of claims frequenc</w:t>
      </w:r>
      <w:r>
        <w:t>y observations by means of the median and 95% credible intervals, where we also present results by groups of policy holders, geographical areas and by medical specialties.</w:t>
      </w:r>
    </w:p>
    <w:tbl>
      <w:tblPr>
        <w:tblStyle w:val="Table"/>
        <w:tblW w:w="0" w:type="auto"/>
        <w:tblLook w:val="0020" w:firstRow="1" w:lastRow="0" w:firstColumn="0" w:lastColumn="0" w:noHBand="0" w:noVBand="0"/>
      </w:tblPr>
      <w:tblGrid>
        <w:gridCol w:w="1497"/>
        <w:gridCol w:w="1464"/>
        <w:gridCol w:w="1063"/>
        <w:gridCol w:w="1452"/>
        <w:gridCol w:w="1063"/>
        <w:gridCol w:w="1452"/>
        <w:gridCol w:w="1063"/>
      </w:tblGrid>
      <w:tr w:rsidR="000D1FC8" w14:paraId="7CC2858D" w14:textId="77777777" w:rsidTr="000D1FC8">
        <w:trPr>
          <w:cnfStyle w:val="100000000000" w:firstRow="1" w:lastRow="0" w:firstColumn="0" w:lastColumn="0" w:oddVBand="0" w:evenVBand="0" w:oddHBand="0" w:evenHBand="0" w:firstRowFirstColumn="0" w:firstRowLastColumn="0" w:lastRowFirstColumn="0" w:lastRowLastColumn="0"/>
          <w:tblHeader/>
        </w:trPr>
        <w:tc>
          <w:tcPr>
            <w:tcW w:w="0" w:type="auto"/>
          </w:tcPr>
          <w:p w14:paraId="7CC28589" w14:textId="77777777" w:rsidR="000D1FC8" w:rsidRDefault="000D1FC8">
            <w:pPr>
              <w:pStyle w:val="Compact"/>
            </w:pPr>
          </w:p>
        </w:tc>
        <w:tc>
          <w:tcPr>
            <w:tcW w:w="0" w:type="auto"/>
            <w:gridSpan w:val="2"/>
          </w:tcPr>
          <w:p w14:paraId="7CC2858A" w14:textId="77777777" w:rsidR="000D1FC8" w:rsidRDefault="007E4FB8">
            <w:pPr>
              <w:pStyle w:val="Compact"/>
              <w:jc w:val="center"/>
            </w:pPr>
            <w:r>
              <w:t>2019-2020</w:t>
            </w:r>
          </w:p>
        </w:tc>
        <w:tc>
          <w:tcPr>
            <w:tcW w:w="0" w:type="auto"/>
            <w:gridSpan w:val="2"/>
          </w:tcPr>
          <w:p w14:paraId="7CC2858B" w14:textId="77777777" w:rsidR="000D1FC8" w:rsidRDefault="007E4FB8">
            <w:pPr>
              <w:pStyle w:val="Compact"/>
              <w:jc w:val="center"/>
            </w:pPr>
            <w:r>
              <w:t>2019-2021</w:t>
            </w:r>
          </w:p>
        </w:tc>
        <w:tc>
          <w:tcPr>
            <w:tcW w:w="0" w:type="auto"/>
            <w:gridSpan w:val="2"/>
          </w:tcPr>
          <w:p w14:paraId="7CC2858C" w14:textId="77777777" w:rsidR="000D1FC8" w:rsidRDefault="007E4FB8">
            <w:pPr>
              <w:pStyle w:val="Compact"/>
              <w:jc w:val="center"/>
            </w:pPr>
            <w:r>
              <w:t>2019-2022</w:t>
            </w:r>
          </w:p>
        </w:tc>
      </w:tr>
      <w:tr w:rsidR="000D1FC8" w14:paraId="7CC28595" w14:textId="77777777">
        <w:tc>
          <w:tcPr>
            <w:tcW w:w="0" w:type="auto"/>
          </w:tcPr>
          <w:p w14:paraId="7CC2858E" w14:textId="77777777" w:rsidR="000D1FC8" w:rsidRDefault="000D1FC8">
            <w:pPr>
              <w:pStyle w:val="Compact"/>
            </w:pPr>
          </w:p>
        </w:tc>
        <w:tc>
          <w:tcPr>
            <w:tcW w:w="0" w:type="auto"/>
          </w:tcPr>
          <w:p w14:paraId="7CC2858F" w14:textId="77777777" w:rsidR="000D1FC8" w:rsidRDefault="007E4FB8">
            <w:pPr>
              <w:pStyle w:val="Compact"/>
              <w:jc w:val="center"/>
            </w:pPr>
            <w:r>
              <w:t>Difference (95% CI)</w:t>
            </w:r>
          </w:p>
        </w:tc>
        <w:tc>
          <w:tcPr>
            <w:tcW w:w="0" w:type="auto"/>
          </w:tcPr>
          <w:p w14:paraId="7CC28590" w14:textId="77777777" w:rsidR="000D1FC8" w:rsidRDefault="007E4FB8">
            <w:pPr>
              <w:pStyle w:val="Compact"/>
              <w:jc w:val="center"/>
            </w:pPr>
            <w:r>
              <w:t>p-value</w:t>
            </w:r>
          </w:p>
        </w:tc>
        <w:tc>
          <w:tcPr>
            <w:tcW w:w="0" w:type="auto"/>
          </w:tcPr>
          <w:p w14:paraId="7CC28591" w14:textId="77777777" w:rsidR="000D1FC8" w:rsidRDefault="007E4FB8">
            <w:pPr>
              <w:pStyle w:val="Compact"/>
              <w:jc w:val="center"/>
            </w:pPr>
            <w:r>
              <w:t>Difference (95% CI)</w:t>
            </w:r>
          </w:p>
        </w:tc>
        <w:tc>
          <w:tcPr>
            <w:tcW w:w="0" w:type="auto"/>
          </w:tcPr>
          <w:p w14:paraId="7CC28592" w14:textId="77777777" w:rsidR="000D1FC8" w:rsidRDefault="007E4FB8">
            <w:pPr>
              <w:pStyle w:val="Compact"/>
              <w:jc w:val="center"/>
            </w:pPr>
            <w:r>
              <w:t>p-v</w:t>
            </w:r>
            <w:r>
              <w:t>alue</w:t>
            </w:r>
          </w:p>
        </w:tc>
        <w:tc>
          <w:tcPr>
            <w:tcW w:w="0" w:type="auto"/>
          </w:tcPr>
          <w:p w14:paraId="7CC28593" w14:textId="77777777" w:rsidR="000D1FC8" w:rsidRDefault="007E4FB8">
            <w:pPr>
              <w:pStyle w:val="Compact"/>
              <w:jc w:val="center"/>
            </w:pPr>
            <w:r>
              <w:t>Difference (95% CI)</w:t>
            </w:r>
          </w:p>
        </w:tc>
        <w:tc>
          <w:tcPr>
            <w:tcW w:w="0" w:type="auto"/>
          </w:tcPr>
          <w:p w14:paraId="7CC28594" w14:textId="77777777" w:rsidR="000D1FC8" w:rsidRDefault="007E4FB8">
            <w:pPr>
              <w:pStyle w:val="Compact"/>
              <w:jc w:val="center"/>
            </w:pPr>
            <w:r>
              <w:t>p-value</w:t>
            </w:r>
          </w:p>
        </w:tc>
      </w:tr>
      <w:tr w:rsidR="000D1FC8" w14:paraId="7CC2859D" w14:textId="77777777">
        <w:tc>
          <w:tcPr>
            <w:tcW w:w="0" w:type="auto"/>
          </w:tcPr>
          <w:p w14:paraId="7CC28596" w14:textId="77777777" w:rsidR="000D1FC8" w:rsidRDefault="007E4FB8">
            <w:pPr>
              <w:pStyle w:val="Compact"/>
              <w:jc w:val="center"/>
            </w:pPr>
            <w:r>
              <w:t>Total</w:t>
            </w:r>
          </w:p>
        </w:tc>
        <w:tc>
          <w:tcPr>
            <w:tcW w:w="0" w:type="auto"/>
          </w:tcPr>
          <w:p w14:paraId="7CC28597" w14:textId="77777777" w:rsidR="000D1FC8" w:rsidRDefault="007E4FB8">
            <w:pPr>
              <w:pStyle w:val="Compact"/>
              <w:jc w:val="center"/>
            </w:pPr>
            <w:r>
              <w:t>-12% (-16%, -7%)</w:t>
            </w:r>
          </w:p>
        </w:tc>
        <w:tc>
          <w:tcPr>
            <w:tcW w:w="0" w:type="auto"/>
          </w:tcPr>
          <w:p w14:paraId="7CC28598" w14:textId="77777777" w:rsidR="000D1FC8" w:rsidRDefault="007E4FB8">
            <w:pPr>
              <w:pStyle w:val="Compact"/>
              <w:jc w:val="center"/>
            </w:pPr>
            <w:r>
              <w:t>0.0004</w:t>
            </w:r>
          </w:p>
        </w:tc>
        <w:tc>
          <w:tcPr>
            <w:tcW w:w="0" w:type="auto"/>
          </w:tcPr>
          <w:p w14:paraId="7CC28599" w14:textId="77777777" w:rsidR="000D1FC8" w:rsidRDefault="007E4FB8">
            <w:pPr>
              <w:pStyle w:val="Compact"/>
              <w:jc w:val="center"/>
            </w:pPr>
            <w:r>
              <w:t>16% (7.5%, 37%)</w:t>
            </w:r>
          </w:p>
        </w:tc>
        <w:tc>
          <w:tcPr>
            <w:tcW w:w="0" w:type="auto"/>
          </w:tcPr>
          <w:p w14:paraId="7CC2859A" w14:textId="77777777" w:rsidR="000D1FC8" w:rsidRDefault="007E4FB8">
            <w:pPr>
              <w:pStyle w:val="Compact"/>
              <w:jc w:val="center"/>
            </w:pPr>
            <w:r>
              <w:t>0.00255</w:t>
            </w:r>
          </w:p>
        </w:tc>
        <w:tc>
          <w:tcPr>
            <w:tcW w:w="0" w:type="auto"/>
          </w:tcPr>
          <w:p w14:paraId="7CC2859B" w14:textId="77777777" w:rsidR="000D1FC8" w:rsidRDefault="007E4FB8">
            <w:pPr>
              <w:pStyle w:val="Compact"/>
              <w:jc w:val="center"/>
            </w:pPr>
            <w:r>
              <w:t>22% (9.1%, 63%)</w:t>
            </w:r>
          </w:p>
        </w:tc>
        <w:tc>
          <w:tcPr>
            <w:tcW w:w="0" w:type="auto"/>
          </w:tcPr>
          <w:p w14:paraId="7CC2859C" w14:textId="77777777" w:rsidR="000D1FC8" w:rsidRDefault="007E4FB8">
            <w:pPr>
              <w:pStyle w:val="Compact"/>
              <w:jc w:val="center"/>
            </w:pPr>
            <w:r>
              <w:t>0.00431</w:t>
            </w:r>
          </w:p>
        </w:tc>
      </w:tr>
      <w:tr w:rsidR="000D1FC8" w14:paraId="7CC285A5" w14:textId="77777777">
        <w:tc>
          <w:tcPr>
            <w:tcW w:w="0" w:type="auto"/>
          </w:tcPr>
          <w:p w14:paraId="7CC2859E" w14:textId="77777777" w:rsidR="000D1FC8" w:rsidRDefault="007E4FB8">
            <w:pPr>
              <w:pStyle w:val="Compact"/>
              <w:jc w:val="center"/>
            </w:pPr>
            <w:r>
              <w:t>Females</w:t>
            </w:r>
          </w:p>
        </w:tc>
        <w:tc>
          <w:tcPr>
            <w:tcW w:w="0" w:type="auto"/>
          </w:tcPr>
          <w:p w14:paraId="7CC2859F" w14:textId="77777777" w:rsidR="000D1FC8" w:rsidRDefault="007E4FB8">
            <w:pPr>
              <w:pStyle w:val="Compact"/>
              <w:jc w:val="center"/>
            </w:pPr>
            <w:r>
              <w:t>-12% (-16%, -6.8%)</w:t>
            </w:r>
          </w:p>
        </w:tc>
        <w:tc>
          <w:tcPr>
            <w:tcW w:w="0" w:type="auto"/>
          </w:tcPr>
          <w:p w14:paraId="7CC285A0" w14:textId="77777777" w:rsidR="000D1FC8" w:rsidRDefault="007E4FB8">
            <w:pPr>
              <w:pStyle w:val="Compact"/>
              <w:jc w:val="center"/>
            </w:pPr>
            <w:r>
              <w:t>0.00038</w:t>
            </w:r>
          </w:p>
        </w:tc>
        <w:tc>
          <w:tcPr>
            <w:tcW w:w="0" w:type="auto"/>
          </w:tcPr>
          <w:p w14:paraId="7CC285A1" w14:textId="77777777" w:rsidR="000D1FC8" w:rsidRDefault="007E4FB8">
            <w:pPr>
              <w:pStyle w:val="Compact"/>
              <w:jc w:val="center"/>
            </w:pPr>
            <w:r>
              <w:t>15% (6.3%, 39%)</w:t>
            </w:r>
          </w:p>
        </w:tc>
        <w:tc>
          <w:tcPr>
            <w:tcW w:w="0" w:type="auto"/>
          </w:tcPr>
          <w:p w14:paraId="7CC285A2" w14:textId="77777777" w:rsidR="000D1FC8" w:rsidRDefault="007E4FB8">
            <w:pPr>
              <w:pStyle w:val="Compact"/>
              <w:jc w:val="center"/>
            </w:pPr>
            <w:r>
              <w:t>0.00378</w:t>
            </w:r>
          </w:p>
        </w:tc>
        <w:tc>
          <w:tcPr>
            <w:tcW w:w="0" w:type="auto"/>
          </w:tcPr>
          <w:p w14:paraId="7CC285A3" w14:textId="77777777" w:rsidR="000D1FC8" w:rsidRDefault="007E4FB8">
            <w:pPr>
              <w:pStyle w:val="Compact"/>
              <w:jc w:val="center"/>
            </w:pPr>
            <w:r>
              <w:t>22% (8%, 64%)</w:t>
            </w:r>
          </w:p>
        </w:tc>
        <w:tc>
          <w:tcPr>
            <w:tcW w:w="0" w:type="auto"/>
          </w:tcPr>
          <w:p w14:paraId="7CC285A4" w14:textId="77777777" w:rsidR="000D1FC8" w:rsidRDefault="007E4FB8">
            <w:pPr>
              <w:pStyle w:val="Compact"/>
              <w:jc w:val="center"/>
            </w:pPr>
            <w:r>
              <w:t>0.00591</w:t>
            </w:r>
          </w:p>
        </w:tc>
      </w:tr>
      <w:tr w:rsidR="000D1FC8" w14:paraId="7CC285AD" w14:textId="77777777">
        <w:tc>
          <w:tcPr>
            <w:tcW w:w="0" w:type="auto"/>
          </w:tcPr>
          <w:p w14:paraId="7CC285A6" w14:textId="77777777" w:rsidR="000D1FC8" w:rsidRDefault="007E4FB8">
            <w:pPr>
              <w:pStyle w:val="Compact"/>
              <w:jc w:val="center"/>
            </w:pPr>
            <w:r>
              <w:t>Males</w:t>
            </w:r>
          </w:p>
        </w:tc>
        <w:tc>
          <w:tcPr>
            <w:tcW w:w="0" w:type="auto"/>
          </w:tcPr>
          <w:p w14:paraId="7CC285A7" w14:textId="77777777" w:rsidR="000D1FC8" w:rsidRDefault="007E4FB8">
            <w:pPr>
              <w:pStyle w:val="Compact"/>
              <w:jc w:val="center"/>
            </w:pPr>
            <w:r>
              <w:t>-13% (-17%, -7.4%)</w:t>
            </w:r>
          </w:p>
        </w:tc>
        <w:tc>
          <w:tcPr>
            <w:tcW w:w="0" w:type="auto"/>
          </w:tcPr>
          <w:p w14:paraId="7CC285A8" w14:textId="77777777" w:rsidR="000D1FC8" w:rsidRDefault="007E4FB8">
            <w:pPr>
              <w:pStyle w:val="Compact"/>
              <w:jc w:val="center"/>
            </w:pPr>
            <w:r>
              <w:t>0.00026</w:t>
            </w:r>
          </w:p>
        </w:tc>
        <w:tc>
          <w:tcPr>
            <w:tcW w:w="0" w:type="auto"/>
          </w:tcPr>
          <w:p w14:paraId="7CC285A9" w14:textId="77777777" w:rsidR="000D1FC8" w:rsidRDefault="007E4FB8">
            <w:pPr>
              <w:pStyle w:val="Compact"/>
              <w:jc w:val="center"/>
            </w:pPr>
            <w:r>
              <w:t>16% (8%, 37%)</w:t>
            </w:r>
          </w:p>
        </w:tc>
        <w:tc>
          <w:tcPr>
            <w:tcW w:w="0" w:type="auto"/>
          </w:tcPr>
          <w:p w14:paraId="7CC285AA" w14:textId="77777777" w:rsidR="000D1FC8" w:rsidRDefault="007E4FB8">
            <w:pPr>
              <w:pStyle w:val="Compact"/>
              <w:jc w:val="center"/>
            </w:pPr>
            <w:r>
              <w:t>0.00237</w:t>
            </w:r>
          </w:p>
        </w:tc>
        <w:tc>
          <w:tcPr>
            <w:tcW w:w="0" w:type="auto"/>
          </w:tcPr>
          <w:p w14:paraId="7CC285AB" w14:textId="77777777" w:rsidR="000D1FC8" w:rsidRDefault="007E4FB8">
            <w:pPr>
              <w:pStyle w:val="Compact"/>
              <w:jc w:val="center"/>
            </w:pPr>
            <w:r>
              <w:t>22% (11%, 60%)</w:t>
            </w:r>
          </w:p>
        </w:tc>
        <w:tc>
          <w:tcPr>
            <w:tcW w:w="0" w:type="auto"/>
          </w:tcPr>
          <w:p w14:paraId="7CC285AC" w14:textId="77777777" w:rsidR="000D1FC8" w:rsidRDefault="007E4FB8">
            <w:pPr>
              <w:pStyle w:val="Compact"/>
              <w:jc w:val="center"/>
            </w:pPr>
            <w:r>
              <w:t>0.00304</w:t>
            </w:r>
          </w:p>
        </w:tc>
      </w:tr>
      <w:tr w:rsidR="000D1FC8" w14:paraId="7CC285B5" w14:textId="77777777">
        <w:tc>
          <w:tcPr>
            <w:tcW w:w="0" w:type="auto"/>
          </w:tcPr>
          <w:p w14:paraId="7CC285AE" w14:textId="77777777" w:rsidR="000D1FC8" w:rsidRDefault="007E4FB8">
            <w:pPr>
              <w:pStyle w:val="Compact"/>
              <w:jc w:val="center"/>
            </w:pPr>
            <w:r>
              <w:t>Over 60</w:t>
            </w:r>
          </w:p>
        </w:tc>
        <w:tc>
          <w:tcPr>
            <w:tcW w:w="0" w:type="auto"/>
          </w:tcPr>
          <w:p w14:paraId="7CC285AF" w14:textId="77777777" w:rsidR="000D1FC8" w:rsidRDefault="007E4FB8">
            <w:pPr>
              <w:pStyle w:val="Compact"/>
              <w:jc w:val="center"/>
            </w:pPr>
            <w:r>
              <w:t>-20% (-24%, -14%)</w:t>
            </w:r>
          </w:p>
        </w:tc>
        <w:tc>
          <w:tcPr>
            <w:tcW w:w="0" w:type="auto"/>
          </w:tcPr>
          <w:p w14:paraId="7CC285B0" w14:textId="77777777" w:rsidR="000D1FC8" w:rsidRDefault="007E4FB8">
            <w:pPr>
              <w:pStyle w:val="Compact"/>
              <w:jc w:val="center"/>
            </w:pPr>
            <w:r>
              <w:t>0.00002</w:t>
            </w:r>
          </w:p>
        </w:tc>
        <w:tc>
          <w:tcPr>
            <w:tcW w:w="0" w:type="auto"/>
          </w:tcPr>
          <w:p w14:paraId="7CC285B1" w14:textId="77777777" w:rsidR="000D1FC8" w:rsidRDefault="007E4FB8">
            <w:pPr>
              <w:pStyle w:val="Compact"/>
              <w:jc w:val="center"/>
            </w:pPr>
            <w:r>
              <w:t>-7.2% (-15%, 18%)</w:t>
            </w:r>
          </w:p>
        </w:tc>
        <w:tc>
          <w:tcPr>
            <w:tcW w:w="0" w:type="auto"/>
          </w:tcPr>
          <w:p w14:paraId="7CC285B2" w14:textId="77777777" w:rsidR="000D1FC8" w:rsidRDefault="007E4FB8">
            <w:pPr>
              <w:pStyle w:val="Compact"/>
              <w:jc w:val="center"/>
            </w:pPr>
            <w:r>
              <w:t>0.08928</w:t>
            </w:r>
          </w:p>
        </w:tc>
        <w:tc>
          <w:tcPr>
            <w:tcW w:w="0" w:type="auto"/>
          </w:tcPr>
          <w:p w14:paraId="7CC285B3" w14:textId="77777777" w:rsidR="000D1FC8" w:rsidRDefault="007E4FB8">
            <w:pPr>
              <w:pStyle w:val="Compact"/>
              <w:jc w:val="center"/>
            </w:pPr>
            <w:r>
              <w:t>1% (-11%, 49%)</w:t>
            </w:r>
          </w:p>
        </w:tc>
        <w:tc>
          <w:tcPr>
            <w:tcW w:w="0" w:type="auto"/>
          </w:tcPr>
          <w:p w14:paraId="7CC285B4" w14:textId="77777777" w:rsidR="000D1FC8" w:rsidRDefault="007E4FB8">
            <w:pPr>
              <w:pStyle w:val="Compact"/>
              <w:jc w:val="center"/>
            </w:pPr>
            <w:r>
              <w:t>0.21511</w:t>
            </w:r>
          </w:p>
        </w:tc>
      </w:tr>
      <w:tr w:rsidR="000D1FC8" w14:paraId="7CC285BD" w14:textId="77777777">
        <w:tc>
          <w:tcPr>
            <w:tcW w:w="0" w:type="auto"/>
          </w:tcPr>
          <w:p w14:paraId="7CC285B6" w14:textId="77777777" w:rsidR="000D1FC8" w:rsidRDefault="007E4FB8">
            <w:pPr>
              <w:pStyle w:val="Compact"/>
              <w:jc w:val="center"/>
            </w:pPr>
            <w:r>
              <w:t>Oncology</w:t>
            </w:r>
          </w:p>
        </w:tc>
        <w:tc>
          <w:tcPr>
            <w:tcW w:w="0" w:type="auto"/>
          </w:tcPr>
          <w:p w14:paraId="7CC285B7" w14:textId="77777777" w:rsidR="000D1FC8" w:rsidRDefault="007E4FB8">
            <w:pPr>
              <w:pStyle w:val="Compact"/>
              <w:jc w:val="center"/>
            </w:pPr>
            <w:r>
              <w:t>-11% (-17%, -4.7%)</w:t>
            </w:r>
          </w:p>
        </w:tc>
        <w:tc>
          <w:tcPr>
            <w:tcW w:w="0" w:type="auto"/>
          </w:tcPr>
          <w:p w14:paraId="7CC285B8" w14:textId="77777777" w:rsidR="000D1FC8" w:rsidRDefault="007E4FB8">
            <w:pPr>
              <w:pStyle w:val="Compact"/>
              <w:jc w:val="center"/>
            </w:pPr>
            <w:r>
              <w:t>0.0025</w:t>
            </w:r>
          </w:p>
        </w:tc>
        <w:tc>
          <w:tcPr>
            <w:tcW w:w="0" w:type="auto"/>
          </w:tcPr>
          <w:p w14:paraId="7CC285B9" w14:textId="77777777" w:rsidR="000D1FC8" w:rsidRDefault="007E4FB8">
            <w:pPr>
              <w:pStyle w:val="Compact"/>
              <w:jc w:val="center"/>
            </w:pPr>
            <w:r>
              <w:t>8.4% (-1.9%, 32%)</w:t>
            </w:r>
          </w:p>
        </w:tc>
        <w:tc>
          <w:tcPr>
            <w:tcW w:w="0" w:type="auto"/>
          </w:tcPr>
          <w:p w14:paraId="7CC285BA" w14:textId="77777777" w:rsidR="000D1FC8" w:rsidRDefault="007E4FB8">
            <w:pPr>
              <w:pStyle w:val="Compact"/>
              <w:jc w:val="center"/>
            </w:pPr>
            <w:r>
              <w:t>0.04785</w:t>
            </w:r>
          </w:p>
        </w:tc>
        <w:tc>
          <w:tcPr>
            <w:tcW w:w="0" w:type="auto"/>
          </w:tcPr>
          <w:p w14:paraId="7CC285BB" w14:textId="77777777" w:rsidR="000D1FC8" w:rsidRDefault="007E4FB8">
            <w:pPr>
              <w:pStyle w:val="Compact"/>
              <w:jc w:val="center"/>
            </w:pPr>
            <w:r>
              <w:t>15% (-0.99%, 65%)</w:t>
            </w:r>
          </w:p>
        </w:tc>
        <w:tc>
          <w:tcPr>
            <w:tcW w:w="0" w:type="auto"/>
          </w:tcPr>
          <w:p w14:paraId="7CC285BC" w14:textId="77777777" w:rsidR="000D1FC8" w:rsidRDefault="007E4FB8">
            <w:pPr>
              <w:pStyle w:val="Compact"/>
              <w:jc w:val="center"/>
            </w:pPr>
            <w:r>
              <w:t>0.03075</w:t>
            </w:r>
          </w:p>
        </w:tc>
      </w:tr>
      <w:tr w:rsidR="000D1FC8" w14:paraId="7CC285C5" w14:textId="77777777">
        <w:tc>
          <w:tcPr>
            <w:tcW w:w="0" w:type="auto"/>
          </w:tcPr>
          <w:p w14:paraId="7CC285BE" w14:textId="77777777" w:rsidR="000D1FC8" w:rsidRDefault="007E4FB8">
            <w:pPr>
              <w:pStyle w:val="Compact"/>
              <w:jc w:val="center"/>
            </w:pPr>
            <w:r>
              <w:t>Cardiology</w:t>
            </w:r>
          </w:p>
        </w:tc>
        <w:tc>
          <w:tcPr>
            <w:tcW w:w="0" w:type="auto"/>
          </w:tcPr>
          <w:p w14:paraId="7CC285BF" w14:textId="77777777" w:rsidR="000D1FC8" w:rsidRDefault="007E4FB8">
            <w:pPr>
              <w:pStyle w:val="Compact"/>
              <w:jc w:val="center"/>
            </w:pPr>
            <w:r>
              <w:t>-10% (-15%, -4.8%)</w:t>
            </w:r>
          </w:p>
        </w:tc>
        <w:tc>
          <w:tcPr>
            <w:tcW w:w="0" w:type="auto"/>
          </w:tcPr>
          <w:p w14:paraId="7CC285C0" w14:textId="77777777" w:rsidR="000D1FC8" w:rsidRDefault="007E4FB8">
            <w:pPr>
              <w:pStyle w:val="Compact"/>
              <w:jc w:val="center"/>
            </w:pPr>
            <w:r>
              <w:t>0.00172</w:t>
            </w:r>
          </w:p>
        </w:tc>
        <w:tc>
          <w:tcPr>
            <w:tcW w:w="0" w:type="auto"/>
          </w:tcPr>
          <w:p w14:paraId="7CC285C1" w14:textId="77777777" w:rsidR="000D1FC8" w:rsidRDefault="007E4FB8">
            <w:pPr>
              <w:pStyle w:val="Compact"/>
              <w:jc w:val="center"/>
            </w:pPr>
            <w:r>
              <w:t>18% (6.1%, 39%)</w:t>
            </w:r>
          </w:p>
        </w:tc>
        <w:tc>
          <w:tcPr>
            <w:tcW w:w="0" w:type="auto"/>
          </w:tcPr>
          <w:p w14:paraId="7CC285C2" w14:textId="77777777" w:rsidR="000D1FC8" w:rsidRDefault="007E4FB8">
            <w:pPr>
              <w:pStyle w:val="Compact"/>
              <w:jc w:val="center"/>
            </w:pPr>
            <w:r>
              <w:t>0.00593</w:t>
            </w:r>
          </w:p>
        </w:tc>
        <w:tc>
          <w:tcPr>
            <w:tcW w:w="0" w:type="auto"/>
          </w:tcPr>
          <w:p w14:paraId="7CC285C3" w14:textId="77777777" w:rsidR="000D1FC8" w:rsidRDefault="007E4FB8">
            <w:pPr>
              <w:pStyle w:val="Compact"/>
              <w:jc w:val="center"/>
            </w:pPr>
            <w:r>
              <w:t>26% (8.4%, 61%)</w:t>
            </w:r>
          </w:p>
        </w:tc>
        <w:tc>
          <w:tcPr>
            <w:tcW w:w="0" w:type="auto"/>
          </w:tcPr>
          <w:p w14:paraId="7CC285C4" w14:textId="77777777" w:rsidR="000D1FC8" w:rsidRDefault="007E4FB8">
            <w:pPr>
              <w:pStyle w:val="Compact"/>
              <w:jc w:val="center"/>
            </w:pPr>
            <w:r>
              <w:t>0.0068</w:t>
            </w:r>
          </w:p>
        </w:tc>
      </w:tr>
      <w:tr w:rsidR="000D1FC8" w14:paraId="7CC285CD" w14:textId="77777777">
        <w:tc>
          <w:tcPr>
            <w:tcW w:w="0" w:type="auto"/>
          </w:tcPr>
          <w:p w14:paraId="7CC285C6" w14:textId="77777777" w:rsidR="000D1FC8" w:rsidRDefault="007E4FB8">
            <w:pPr>
              <w:pStyle w:val="Compact"/>
              <w:jc w:val="center"/>
            </w:pPr>
            <w:r>
              <w:t>Obstetrics</w:t>
            </w:r>
          </w:p>
        </w:tc>
        <w:tc>
          <w:tcPr>
            <w:tcW w:w="0" w:type="auto"/>
          </w:tcPr>
          <w:p w14:paraId="7CC285C7" w14:textId="77777777" w:rsidR="000D1FC8" w:rsidRDefault="007E4FB8">
            <w:pPr>
              <w:pStyle w:val="Compact"/>
              <w:jc w:val="center"/>
            </w:pPr>
            <w:r>
              <w:t>-12% (-16%, -7.1%)</w:t>
            </w:r>
          </w:p>
        </w:tc>
        <w:tc>
          <w:tcPr>
            <w:tcW w:w="0" w:type="auto"/>
          </w:tcPr>
          <w:p w14:paraId="7CC285C8" w14:textId="77777777" w:rsidR="000D1FC8" w:rsidRDefault="007E4FB8">
            <w:pPr>
              <w:pStyle w:val="Compact"/>
              <w:jc w:val="center"/>
            </w:pPr>
            <w:r>
              <w:t>0.00027</w:t>
            </w:r>
          </w:p>
        </w:tc>
        <w:tc>
          <w:tcPr>
            <w:tcW w:w="0" w:type="auto"/>
          </w:tcPr>
          <w:p w14:paraId="7CC285C9" w14:textId="77777777" w:rsidR="000D1FC8" w:rsidRDefault="007E4FB8">
            <w:pPr>
              <w:pStyle w:val="Compact"/>
              <w:jc w:val="center"/>
            </w:pPr>
            <w:r>
              <w:t>11% (0.88%, 28%)</w:t>
            </w:r>
          </w:p>
        </w:tc>
        <w:tc>
          <w:tcPr>
            <w:tcW w:w="0" w:type="auto"/>
          </w:tcPr>
          <w:p w14:paraId="7CC285CA" w14:textId="77777777" w:rsidR="000D1FC8" w:rsidRDefault="007E4FB8">
            <w:pPr>
              <w:pStyle w:val="Compact"/>
              <w:jc w:val="center"/>
            </w:pPr>
            <w:r>
              <w:t>0.01976</w:t>
            </w:r>
          </w:p>
        </w:tc>
        <w:tc>
          <w:tcPr>
            <w:tcW w:w="0" w:type="auto"/>
          </w:tcPr>
          <w:p w14:paraId="7CC285CB" w14:textId="77777777" w:rsidR="000D1FC8" w:rsidRDefault="007E4FB8">
            <w:pPr>
              <w:pStyle w:val="Compact"/>
              <w:jc w:val="center"/>
            </w:pPr>
            <w:r>
              <w:t>16% (0.75%, 44%)</w:t>
            </w:r>
          </w:p>
        </w:tc>
        <w:tc>
          <w:tcPr>
            <w:tcW w:w="0" w:type="auto"/>
          </w:tcPr>
          <w:p w14:paraId="7CC285CC" w14:textId="77777777" w:rsidR="000D1FC8" w:rsidRDefault="007E4FB8">
            <w:pPr>
              <w:pStyle w:val="Compact"/>
              <w:jc w:val="center"/>
            </w:pPr>
            <w:r>
              <w:t>0.02215</w:t>
            </w:r>
          </w:p>
        </w:tc>
      </w:tr>
      <w:tr w:rsidR="000D1FC8" w14:paraId="7CC285D5" w14:textId="77777777">
        <w:tc>
          <w:tcPr>
            <w:tcW w:w="0" w:type="auto"/>
          </w:tcPr>
          <w:p w14:paraId="7CC285CE" w14:textId="77777777" w:rsidR="000D1FC8" w:rsidRDefault="007E4FB8">
            <w:pPr>
              <w:pStyle w:val="Compact"/>
              <w:jc w:val="center"/>
            </w:pPr>
            <w:r>
              <w:t>Urology</w:t>
            </w:r>
          </w:p>
        </w:tc>
        <w:tc>
          <w:tcPr>
            <w:tcW w:w="0" w:type="auto"/>
          </w:tcPr>
          <w:p w14:paraId="7CC285CF" w14:textId="77777777" w:rsidR="000D1FC8" w:rsidRDefault="007E4FB8">
            <w:pPr>
              <w:pStyle w:val="Compact"/>
              <w:jc w:val="center"/>
            </w:pPr>
            <w:r>
              <w:t>-11% (-15%, -5.3%)</w:t>
            </w:r>
          </w:p>
        </w:tc>
        <w:tc>
          <w:tcPr>
            <w:tcW w:w="0" w:type="auto"/>
          </w:tcPr>
          <w:p w14:paraId="7CC285D0" w14:textId="77777777" w:rsidR="000D1FC8" w:rsidRDefault="007E4FB8">
            <w:pPr>
              <w:pStyle w:val="Compact"/>
              <w:jc w:val="center"/>
            </w:pPr>
            <w:r>
              <w:t>0.00097</w:t>
            </w:r>
          </w:p>
        </w:tc>
        <w:tc>
          <w:tcPr>
            <w:tcW w:w="0" w:type="auto"/>
          </w:tcPr>
          <w:p w14:paraId="7CC285D1" w14:textId="77777777" w:rsidR="000D1FC8" w:rsidRDefault="007E4FB8">
            <w:pPr>
              <w:pStyle w:val="Compact"/>
              <w:jc w:val="center"/>
            </w:pPr>
            <w:r>
              <w:t>19% (6.7%, 43%)</w:t>
            </w:r>
          </w:p>
        </w:tc>
        <w:tc>
          <w:tcPr>
            <w:tcW w:w="0" w:type="auto"/>
          </w:tcPr>
          <w:p w14:paraId="7CC285D2" w14:textId="77777777" w:rsidR="000D1FC8" w:rsidRDefault="007E4FB8">
            <w:pPr>
              <w:pStyle w:val="Compact"/>
              <w:jc w:val="center"/>
            </w:pPr>
            <w:r>
              <w:t>0.00536</w:t>
            </w:r>
          </w:p>
        </w:tc>
        <w:tc>
          <w:tcPr>
            <w:tcW w:w="0" w:type="auto"/>
          </w:tcPr>
          <w:p w14:paraId="7CC285D3" w14:textId="77777777" w:rsidR="000D1FC8" w:rsidRDefault="007E4FB8">
            <w:pPr>
              <w:pStyle w:val="Compact"/>
              <w:jc w:val="center"/>
            </w:pPr>
            <w:r>
              <w:t>28% (8.8%, 68%)</w:t>
            </w:r>
          </w:p>
        </w:tc>
        <w:tc>
          <w:tcPr>
            <w:tcW w:w="0" w:type="auto"/>
          </w:tcPr>
          <w:p w14:paraId="7CC285D4" w14:textId="77777777" w:rsidR="000D1FC8" w:rsidRDefault="007E4FB8">
            <w:pPr>
              <w:pStyle w:val="Compact"/>
              <w:jc w:val="center"/>
            </w:pPr>
            <w:r>
              <w:t>0.00622</w:t>
            </w:r>
          </w:p>
        </w:tc>
      </w:tr>
      <w:tr w:rsidR="000D1FC8" w14:paraId="7CC285DD" w14:textId="77777777">
        <w:tc>
          <w:tcPr>
            <w:tcW w:w="0" w:type="auto"/>
          </w:tcPr>
          <w:p w14:paraId="7CC285D6" w14:textId="77777777" w:rsidR="000D1FC8" w:rsidRDefault="007E4FB8">
            <w:pPr>
              <w:pStyle w:val="Compact"/>
              <w:jc w:val="center"/>
            </w:pPr>
            <w:r>
              <w:t>General medicine</w:t>
            </w:r>
          </w:p>
        </w:tc>
        <w:tc>
          <w:tcPr>
            <w:tcW w:w="0" w:type="auto"/>
          </w:tcPr>
          <w:p w14:paraId="7CC285D7" w14:textId="77777777" w:rsidR="000D1FC8" w:rsidRDefault="007E4FB8">
            <w:pPr>
              <w:pStyle w:val="Compact"/>
              <w:jc w:val="center"/>
            </w:pPr>
            <w:r>
              <w:t>2.2% (-2.8%, 8.1%)</w:t>
            </w:r>
          </w:p>
        </w:tc>
        <w:tc>
          <w:tcPr>
            <w:tcW w:w="0" w:type="auto"/>
          </w:tcPr>
          <w:p w14:paraId="7CC285D8" w14:textId="77777777" w:rsidR="000D1FC8" w:rsidRDefault="007E4FB8">
            <w:pPr>
              <w:pStyle w:val="Compact"/>
              <w:jc w:val="center"/>
            </w:pPr>
            <w:r>
              <w:t>0.20173</w:t>
            </w:r>
          </w:p>
        </w:tc>
        <w:tc>
          <w:tcPr>
            <w:tcW w:w="0" w:type="auto"/>
          </w:tcPr>
          <w:p w14:paraId="7CC285D9" w14:textId="77777777" w:rsidR="000D1FC8" w:rsidRDefault="007E4FB8">
            <w:pPr>
              <w:pStyle w:val="Compact"/>
              <w:jc w:val="center"/>
            </w:pPr>
            <w:r>
              <w:t>28% (20%, 51%)</w:t>
            </w:r>
          </w:p>
        </w:tc>
        <w:tc>
          <w:tcPr>
            <w:tcW w:w="0" w:type="auto"/>
          </w:tcPr>
          <w:p w14:paraId="7CC285DA" w14:textId="77777777" w:rsidR="000D1FC8" w:rsidRDefault="007E4FB8">
            <w:pPr>
              <w:pStyle w:val="Compact"/>
              <w:jc w:val="center"/>
            </w:pPr>
            <w:r>
              <w:t>0.0001</w:t>
            </w:r>
          </w:p>
        </w:tc>
        <w:tc>
          <w:tcPr>
            <w:tcW w:w="0" w:type="auto"/>
          </w:tcPr>
          <w:p w14:paraId="7CC285DB" w14:textId="77777777" w:rsidR="000D1FC8" w:rsidRDefault="007E4FB8">
            <w:pPr>
              <w:pStyle w:val="Compact"/>
              <w:jc w:val="center"/>
            </w:pPr>
            <w:r>
              <w:t>48% (37%, 91%)</w:t>
            </w:r>
          </w:p>
        </w:tc>
        <w:tc>
          <w:tcPr>
            <w:tcW w:w="0" w:type="auto"/>
          </w:tcPr>
          <w:p w14:paraId="7CC285DC" w14:textId="77777777" w:rsidR="000D1FC8" w:rsidRDefault="007E4FB8">
            <w:pPr>
              <w:pStyle w:val="Compact"/>
              <w:jc w:val="center"/>
            </w:pPr>
            <w:r>
              <w:t>0.00004</w:t>
            </w:r>
          </w:p>
        </w:tc>
      </w:tr>
      <w:tr w:rsidR="000D1FC8" w14:paraId="7CC285E5" w14:textId="77777777">
        <w:tc>
          <w:tcPr>
            <w:tcW w:w="0" w:type="auto"/>
          </w:tcPr>
          <w:p w14:paraId="7CC285DE" w14:textId="77777777" w:rsidR="000D1FC8" w:rsidRDefault="007E4FB8">
            <w:pPr>
              <w:pStyle w:val="Compact"/>
              <w:jc w:val="center"/>
            </w:pPr>
            <w:r>
              <w:t>Osteopathy</w:t>
            </w:r>
          </w:p>
        </w:tc>
        <w:tc>
          <w:tcPr>
            <w:tcW w:w="0" w:type="auto"/>
          </w:tcPr>
          <w:p w14:paraId="7CC285DF" w14:textId="77777777" w:rsidR="000D1FC8" w:rsidRDefault="007E4FB8">
            <w:pPr>
              <w:pStyle w:val="Compact"/>
              <w:jc w:val="center"/>
            </w:pPr>
            <w:r>
              <w:t>-23% (-27%, -18%)</w:t>
            </w:r>
          </w:p>
        </w:tc>
        <w:tc>
          <w:tcPr>
            <w:tcW w:w="0" w:type="auto"/>
          </w:tcPr>
          <w:p w14:paraId="7CC285E0" w14:textId="77777777" w:rsidR="000D1FC8" w:rsidRDefault="007E4FB8">
            <w:pPr>
              <w:pStyle w:val="Compact"/>
              <w:jc w:val="center"/>
            </w:pPr>
            <w:r>
              <w:t>0.00002</w:t>
            </w:r>
          </w:p>
        </w:tc>
        <w:tc>
          <w:tcPr>
            <w:tcW w:w="0" w:type="auto"/>
          </w:tcPr>
          <w:p w14:paraId="7CC285E1" w14:textId="77777777" w:rsidR="000D1FC8" w:rsidRDefault="007E4FB8">
            <w:pPr>
              <w:pStyle w:val="Compact"/>
              <w:jc w:val="center"/>
            </w:pPr>
            <w:r>
              <w:t>12% (1.8%, 29%)</w:t>
            </w:r>
          </w:p>
        </w:tc>
        <w:tc>
          <w:tcPr>
            <w:tcW w:w="0" w:type="auto"/>
          </w:tcPr>
          <w:p w14:paraId="7CC285E2" w14:textId="77777777" w:rsidR="000D1FC8" w:rsidRDefault="007E4FB8">
            <w:pPr>
              <w:pStyle w:val="Compact"/>
              <w:jc w:val="center"/>
            </w:pPr>
            <w:r>
              <w:t>0.01566</w:t>
            </w:r>
          </w:p>
        </w:tc>
        <w:tc>
          <w:tcPr>
            <w:tcW w:w="0" w:type="auto"/>
          </w:tcPr>
          <w:p w14:paraId="7CC285E3" w14:textId="77777777" w:rsidR="000D1FC8" w:rsidRDefault="007E4FB8">
            <w:pPr>
              <w:pStyle w:val="Compact"/>
              <w:jc w:val="center"/>
            </w:pPr>
            <w:r>
              <w:t>31% (17%, 63%)</w:t>
            </w:r>
          </w:p>
        </w:tc>
        <w:tc>
          <w:tcPr>
            <w:tcW w:w="0" w:type="auto"/>
          </w:tcPr>
          <w:p w14:paraId="7CC285E4" w14:textId="77777777" w:rsidR="000D1FC8" w:rsidRDefault="007E4FB8">
            <w:pPr>
              <w:pStyle w:val="Compact"/>
              <w:jc w:val="center"/>
            </w:pPr>
            <w:r>
              <w:t>0.00301</w:t>
            </w:r>
          </w:p>
        </w:tc>
      </w:tr>
      <w:tr w:rsidR="000D1FC8" w14:paraId="7CC285ED" w14:textId="77777777">
        <w:tc>
          <w:tcPr>
            <w:tcW w:w="0" w:type="auto"/>
          </w:tcPr>
          <w:p w14:paraId="7CC285E6" w14:textId="77777777" w:rsidR="000D1FC8" w:rsidRDefault="007E4FB8">
            <w:pPr>
              <w:pStyle w:val="Compact"/>
              <w:jc w:val="center"/>
            </w:pPr>
            <w:r>
              <w:t>Madrid</w:t>
            </w:r>
          </w:p>
        </w:tc>
        <w:tc>
          <w:tcPr>
            <w:tcW w:w="0" w:type="auto"/>
          </w:tcPr>
          <w:p w14:paraId="7CC285E7" w14:textId="77777777" w:rsidR="000D1FC8" w:rsidRDefault="007E4FB8">
            <w:pPr>
              <w:pStyle w:val="Compact"/>
              <w:jc w:val="center"/>
            </w:pPr>
            <w:r>
              <w:t>-16% (-20%, -10%)</w:t>
            </w:r>
          </w:p>
        </w:tc>
        <w:tc>
          <w:tcPr>
            <w:tcW w:w="0" w:type="auto"/>
          </w:tcPr>
          <w:p w14:paraId="7CC285E8" w14:textId="77777777" w:rsidR="000D1FC8" w:rsidRDefault="007E4FB8">
            <w:pPr>
              <w:pStyle w:val="Compact"/>
              <w:jc w:val="center"/>
            </w:pPr>
            <w:r>
              <w:t>0.00008</w:t>
            </w:r>
          </w:p>
        </w:tc>
        <w:tc>
          <w:tcPr>
            <w:tcW w:w="0" w:type="auto"/>
          </w:tcPr>
          <w:p w14:paraId="7CC285E9" w14:textId="77777777" w:rsidR="000D1FC8" w:rsidRDefault="007E4FB8">
            <w:pPr>
              <w:pStyle w:val="Compact"/>
              <w:jc w:val="center"/>
            </w:pPr>
            <w:r>
              <w:t>4.5% (-3.6%, 25%)</w:t>
            </w:r>
          </w:p>
        </w:tc>
        <w:tc>
          <w:tcPr>
            <w:tcW w:w="0" w:type="auto"/>
          </w:tcPr>
          <w:p w14:paraId="7CC285EA" w14:textId="77777777" w:rsidR="000D1FC8" w:rsidRDefault="007E4FB8">
            <w:pPr>
              <w:pStyle w:val="Compact"/>
              <w:jc w:val="center"/>
            </w:pPr>
            <w:r>
              <w:t>0.12841</w:t>
            </w:r>
          </w:p>
        </w:tc>
        <w:tc>
          <w:tcPr>
            <w:tcW w:w="0" w:type="auto"/>
          </w:tcPr>
          <w:p w14:paraId="7CC285EB" w14:textId="77777777" w:rsidR="000D1FC8" w:rsidRDefault="007E4FB8">
            <w:pPr>
              <w:pStyle w:val="Compact"/>
              <w:jc w:val="center"/>
            </w:pPr>
            <w:r>
              <w:t>11% (-0.58%, 47%)</w:t>
            </w:r>
          </w:p>
        </w:tc>
        <w:tc>
          <w:tcPr>
            <w:tcW w:w="0" w:type="auto"/>
          </w:tcPr>
          <w:p w14:paraId="7CC285EC" w14:textId="77777777" w:rsidR="000D1FC8" w:rsidRDefault="007E4FB8">
            <w:pPr>
              <w:pStyle w:val="Compact"/>
              <w:jc w:val="center"/>
            </w:pPr>
            <w:r>
              <w:t>0.02908</w:t>
            </w:r>
          </w:p>
        </w:tc>
      </w:tr>
      <w:tr w:rsidR="000D1FC8" w14:paraId="7CC285F5" w14:textId="77777777">
        <w:tc>
          <w:tcPr>
            <w:tcW w:w="0" w:type="auto"/>
          </w:tcPr>
          <w:p w14:paraId="7CC285EE" w14:textId="77777777" w:rsidR="000D1FC8" w:rsidRDefault="007E4FB8">
            <w:pPr>
              <w:pStyle w:val="Compact"/>
              <w:jc w:val="center"/>
            </w:pPr>
            <w:r>
              <w:lastRenderedPageBreak/>
              <w:t>Barcelona</w:t>
            </w:r>
          </w:p>
        </w:tc>
        <w:tc>
          <w:tcPr>
            <w:tcW w:w="0" w:type="auto"/>
          </w:tcPr>
          <w:p w14:paraId="7CC285EF" w14:textId="77777777" w:rsidR="000D1FC8" w:rsidRDefault="007E4FB8">
            <w:pPr>
              <w:pStyle w:val="Compact"/>
              <w:jc w:val="center"/>
            </w:pPr>
            <w:r>
              <w:t>-8.9% (-14%, -2.6%)</w:t>
            </w:r>
          </w:p>
        </w:tc>
        <w:tc>
          <w:tcPr>
            <w:tcW w:w="0" w:type="auto"/>
          </w:tcPr>
          <w:p w14:paraId="7CC285F0" w14:textId="77777777" w:rsidR="000D1FC8" w:rsidRDefault="007E4FB8">
            <w:pPr>
              <w:pStyle w:val="Compact"/>
              <w:jc w:val="center"/>
            </w:pPr>
            <w:r>
              <w:t>0.00792</w:t>
            </w:r>
          </w:p>
        </w:tc>
        <w:tc>
          <w:tcPr>
            <w:tcW w:w="0" w:type="auto"/>
          </w:tcPr>
          <w:p w14:paraId="7CC285F1" w14:textId="77777777" w:rsidR="000D1FC8" w:rsidRDefault="007E4FB8">
            <w:pPr>
              <w:pStyle w:val="Compact"/>
              <w:jc w:val="center"/>
            </w:pPr>
            <w:r>
              <w:t>25% (14%, 60%)</w:t>
            </w:r>
          </w:p>
        </w:tc>
        <w:tc>
          <w:tcPr>
            <w:tcW w:w="0" w:type="auto"/>
          </w:tcPr>
          <w:p w14:paraId="7CC285F2" w14:textId="77777777" w:rsidR="000D1FC8" w:rsidRDefault="007E4FB8">
            <w:pPr>
              <w:pStyle w:val="Compact"/>
              <w:jc w:val="center"/>
            </w:pPr>
            <w:r>
              <w:t>0.0003</w:t>
            </w:r>
          </w:p>
        </w:tc>
        <w:tc>
          <w:tcPr>
            <w:tcW w:w="0" w:type="auto"/>
          </w:tcPr>
          <w:p w14:paraId="7CC285F3" w14:textId="77777777" w:rsidR="000D1FC8" w:rsidRDefault="007E4FB8">
            <w:pPr>
              <w:pStyle w:val="Compact"/>
              <w:jc w:val="center"/>
            </w:pPr>
            <w:r>
              <w:t>33% (16%, 96%)</w:t>
            </w:r>
          </w:p>
        </w:tc>
        <w:tc>
          <w:tcPr>
            <w:tcW w:w="0" w:type="auto"/>
          </w:tcPr>
          <w:p w14:paraId="7CC285F4" w14:textId="77777777" w:rsidR="000D1FC8" w:rsidRDefault="007E4FB8">
            <w:pPr>
              <w:pStyle w:val="Compact"/>
              <w:jc w:val="center"/>
            </w:pPr>
            <w:r>
              <w:t>0.00135</w:t>
            </w:r>
          </w:p>
        </w:tc>
      </w:tr>
      <w:tr w:rsidR="000D1FC8" w14:paraId="7CC285FD" w14:textId="77777777">
        <w:tc>
          <w:tcPr>
            <w:tcW w:w="0" w:type="auto"/>
          </w:tcPr>
          <w:p w14:paraId="7CC285F6" w14:textId="77777777" w:rsidR="000D1FC8" w:rsidRDefault="007E4FB8">
            <w:pPr>
              <w:pStyle w:val="Compact"/>
              <w:jc w:val="center"/>
            </w:pPr>
            <w:r>
              <w:t>Valencia</w:t>
            </w:r>
          </w:p>
        </w:tc>
        <w:tc>
          <w:tcPr>
            <w:tcW w:w="0" w:type="auto"/>
          </w:tcPr>
          <w:p w14:paraId="7CC285F7" w14:textId="77777777" w:rsidR="000D1FC8" w:rsidRDefault="007E4FB8">
            <w:pPr>
              <w:pStyle w:val="Compact"/>
              <w:jc w:val="center"/>
            </w:pPr>
            <w:r>
              <w:t>-8.8% (-13%, -3.1%)</w:t>
            </w:r>
          </w:p>
        </w:tc>
        <w:tc>
          <w:tcPr>
            <w:tcW w:w="0" w:type="auto"/>
          </w:tcPr>
          <w:p w14:paraId="7CC285F8" w14:textId="77777777" w:rsidR="000D1FC8" w:rsidRDefault="007E4FB8">
            <w:pPr>
              <w:pStyle w:val="Compact"/>
              <w:jc w:val="center"/>
            </w:pPr>
            <w:r>
              <w:t>0.00487</w:t>
            </w:r>
          </w:p>
        </w:tc>
        <w:tc>
          <w:tcPr>
            <w:tcW w:w="0" w:type="auto"/>
          </w:tcPr>
          <w:p w14:paraId="7CC285F9" w14:textId="77777777" w:rsidR="000D1FC8" w:rsidRDefault="007E4FB8">
            <w:pPr>
              <w:pStyle w:val="Compact"/>
              <w:jc w:val="center"/>
            </w:pPr>
            <w:r>
              <w:t>29% (19%, 54%)</w:t>
            </w:r>
          </w:p>
        </w:tc>
        <w:tc>
          <w:tcPr>
            <w:tcW w:w="0" w:type="auto"/>
          </w:tcPr>
          <w:p w14:paraId="7CC285FA" w14:textId="77777777" w:rsidR="000D1FC8" w:rsidRDefault="007E4FB8">
            <w:pPr>
              <w:pStyle w:val="Compact"/>
              <w:jc w:val="center"/>
            </w:pPr>
            <w:r>
              <w:t>0.00046</w:t>
            </w:r>
          </w:p>
        </w:tc>
        <w:tc>
          <w:tcPr>
            <w:tcW w:w="0" w:type="auto"/>
          </w:tcPr>
          <w:p w14:paraId="7CC285FB" w14:textId="77777777" w:rsidR="000D1FC8" w:rsidRDefault="007E4FB8">
            <w:pPr>
              <w:pStyle w:val="Compact"/>
              <w:jc w:val="center"/>
            </w:pPr>
            <w:r>
              <w:t>39% (25%, 85%)</w:t>
            </w:r>
          </w:p>
        </w:tc>
        <w:tc>
          <w:tcPr>
            <w:tcW w:w="0" w:type="auto"/>
          </w:tcPr>
          <w:p w14:paraId="7CC285FC" w14:textId="77777777" w:rsidR="000D1FC8" w:rsidRDefault="007E4FB8">
            <w:pPr>
              <w:pStyle w:val="Compact"/>
              <w:jc w:val="center"/>
            </w:pPr>
            <w:r>
              <w:t>0.00034</w:t>
            </w:r>
          </w:p>
        </w:tc>
      </w:tr>
      <w:tr w:rsidR="000D1FC8" w14:paraId="7CC28605" w14:textId="77777777">
        <w:tc>
          <w:tcPr>
            <w:tcW w:w="0" w:type="auto"/>
          </w:tcPr>
          <w:p w14:paraId="7CC285FE" w14:textId="77777777" w:rsidR="000D1FC8" w:rsidRDefault="000D1FC8">
            <w:pPr>
              <w:pStyle w:val="Compact"/>
            </w:pPr>
          </w:p>
        </w:tc>
        <w:tc>
          <w:tcPr>
            <w:tcW w:w="0" w:type="auto"/>
          </w:tcPr>
          <w:p w14:paraId="7CC285FF" w14:textId="77777777" w:rsidR="000D1FC8" w:rsidRDefault="000D1FC8">
            <w:pPr>
              <w:pStyle w:val="Compact"/>
            </w:pPr>
          </w:p>
        </w:tc>
        <w:tc>
          <w:tcPr>
            <w:tcW w:w="0" w:type="auto"/>
          </w:tcPr>
          <w:p w14:paraId="7CC28600" w14:textId="77777777" w:rsidR="000D1FC8" w:rsidRDefault="000D1FC8">
            <w:pPr>
              <w:pStyle w:val="Compact"/>
            </w:pPr>
          </w:p>
        </w:tc>
        <w:tc>
          <w:tcPr>
            <w:tcW w:w="0" w:type="auto"/>
          </w:tcPr>
          <w:p w14:paraId="7CC28601" w14:textId="77777777" w:rsidR="000D1FC8" w:rsidRDefault="000D1FC8">
            <w:pPr>
              <w:pStyle w:val="Compact"/>
            </w:pPr>
          </w:p>
        </w:tc>
        <w:tc>
          <w:tcPr>
            <w:tcW w:w="0" w:type="auto"/>
          </w:tcPr>
          <w:p w14:paraId="7CC28602" w14:textId="77777777" w:rsidR="000D1FC8" w:rsidRDefault="000D1FC8">
            <w:pPr>
              <w:pStyle w:val="Compact"/>
            </w:pPr>
          </w:p>
        </w:tc>
        <w:tc>
          <w:tcPr>
            <w:tcW w:w="0" w:type="auto"/>
          </w:tcPr>
          <w:p w14:paraId="7CC28603" w14:textId="77777777" w:rsidR="000D1FC8" w:rsidRDefault="000D1FC8">
            <w:pPr>
              <w:pStyle w:val="Compact"/>
            </w:pPr>
          </w:p>
        </w:tc>
        <w:tc>
          <w:tcPr>
            <w:tcW w:w="0" w:type="auto"/>
          </w:tcPr>
          <w:p w14:paraId="7CC28604" w14:textId="77777777" w:rsidR="000D1FC8" w:rsidRDefault="000D1FC8">
            <w:pPr>
              <w:pStyle w:val="Compact"/>
            </w:pPr>
          </w:p>
        </w:tc>
      </w:tr>
    </w:tbl>
    <w:p w14:paraId="7CC28606" w14:textId="77777777" w:rsidR="000D1FC8" w:rsidRDefault="007E4FB8">
      <w:pPr>
        <w:pStyle w:val="Textoindependiente"/>
      </w:pPr>
      <w:r>
        <w:t>As can be seen in Table </w:t>
      </w:r>
      <w:hyperlink w:anchor="tab3">
        <w:r>
          <w:rPr>
            <w:rStyle w:val="Hipervnculo"/>
          </w:rPr>
          <w:t>[tab3]</w:t>
        </w:r>
      </w:hyperlink>
      <w:r>
        <w:t xml:space="preserve"> there is a very remarkable reduction in usage of the services associated to health insurances in 2020 compared to the previous year, except for the general medicine service, and the consequences of this reduction can be </w:t>
      </w:r>
      <w:r>
        <w:t>already seen in 2021 in most cases, especially in the services of urology and general medicine. The estimated 2.2% increase observed in 2020 in general medicine (and part of the 2021 and 2022 28% and 48% increase respectively) can be explained because part</w:t>
      </w:r>
      <w:r>
        <w:t xml:space="preserve"> of the COVID-19 testing was conducted under this service. Geographically, the behavior of Barcelona and Valencia is very similar in both comparisons, while Madrid shows a greater reduction in 2020 and a lower increase in 2021 and 2022, probably because Ma</w:t>
      </w:r>
      <w:r>
        <w:t xml:space="preserve">drid has an older exposure profile, although this hypothesis cannot be confirmed with the available data since only aggregated to the national level monthly number of contracts could be obtained. The behavior of males and females is also very similar, but </w:t>
      </w:r>
      <w:r>
        <w:t>for people over 60 years old the reduction in 2020 is significantly greater than for the general population, and there is not an increase in 2021 (in fact, there is also a reduction of around 7%, although it is non-significant, and a slight increase of aro</w:t>
      </w:r>
      <w:r>
        <w:t xml:space="preserve">und 1% in 2022, again non-significant). It should be taken into account that COVID-19 associated mortality rates were much higher among this subpopulation, so it is reasonable to expect that those who old-adults (over 60 years) that survived are healthier </w:t>
      </w:r>
      <w:r>
        <w:t>than in the past, and therefore still using less health services than old-adults in 2019.</w:t>
      </w:r>
    </w:p>
    <w:p w14:paraId="7CC28607" w14:textId="77777777" w:rsidR="000D1FC8" w:rsidRDefault="007E4FB8">
      <w:pPr>
        <w:pStyle w:val="Textoindependiente"/>
      </w:pPr>
      <w:r>
        <w:t>To illustrate how to incorporate the Bayesian estimates provided by the proposed methodology for data pre-processing, we have fitted several Poisson regression models</w:t>
      </w:r>
      <w:r>
        <w:t xml:space="preserve"> to the number of Cardiology claims by age (30-60 / over 60) and sex (male / female). A Cardiology claim corresponds to a visit to a cardiologist. We have fitted one model per year (2019, 2020, 2021 and 2022), and a global model including data from all con</w:t>
      </w:r>
      <w:r>
        <w:t>sidered years. Additionally, we have fitted a Poisson regression model using an offset correction accounting for the global Bayesian estimates reported in Table </w:t>
      </w:r>
      <w:hyperlink w:anchor="tab3">
        <w:r>
          <w:rPr>
            <w:rStyle w:val="Hipervnculo"/>
          </w:rPr>
          <w:t>[tab3]</w:t>
        </w:r>
      </w:hyperlink>
      <w:r>
        <w:t xml:space="preserve"> (-12% for 2020, 16% for 2021</w:t>
      </w:r>
      <w:r>
        <w:t xml:space="preserve"> and 22% for 2022) and another Poisson regression model using specific Bayesian estimates for each subgroup of age and sex. The estimates yield by each of these models is reported in Table </w:t>
      </w:r>
      <w:hyperlink w:anchor="tab1">
        <w:r>
          <w:rPr>
            <w:rStyle w:val="Hipervnculo"/>
          </w:rPr>
          <w:t>[tab1]</w:t>
        </w:r>
      </w:hyperlink>
      <w:r>
        <w:t>,</w:t>
      </w:r>
      <w:r>
        <w:t xml:space="preserve"> and the difference is obvious, especially regarding the impact of the age group parameter when using specific corrections. In this case, the last model reflects the expected claims net of the pandemic impact. This means that when all years are combined an</w:t>
      </w:r>
      <w:r>
        <w:t xml:space="preserve">d the shock is filtered out, then the incidence in adults over 60 is 2.03 times the incidence for adult aged 30 to 60, while men’s inference is 20% higher than women’s. A year by year </w:t>
      </w:r>
      <w:r>
        <w:lastRenderedPageBreak/>
        <w:t>analysis without any shock correction would reveal lower incidence rates</w:t>
      </w:r>
      <w:r>
        <w:t xml:space="preserve"> in general, and in particular for year 2022.</w:t>
      </w:r>
    </w:p>
    <w:tbl>
      <w:tblPr>
        <w:tblStyle w:val="Table"/>
        <w:tblW w:w="0" w:type="auto"/>
        <w:tblLook w:val="0020" w:firstRow="1" w:lastRow="0" w:firstColumn="0" w:lastColumn="0" w:noHBand="0" w:noVBand="0"/>
      </w:tblPr>
      <w:tblGrid>
        <w:gridCol w:w="1760"/>
        <w:gridCol w:w="1335"/>
        <w:gridCol w:w="1371"/>
        <w:gridCol w:w="1112"/>
        <w:gridCol w:w="1112"/>
        <w:gridCol w:w="1114"/>
        <w:gridCol w:w="1028"/>
        <w:gridCol w:w="222"/>
      </w:tblGrid>
      <w:tr w:rsidR="000D1FC8" w14:paraId="7CC2860F" w14:textId="77777777" w:rsidTr="000D1FC8">
        <w:trPr>
          <w:cnfStyle w:val="100000000000" w:firstRow="1" w:lastRow="0" w:firstColumn="0" w:lastColumn="0" w:oddVBand="0" w:evenVBand="0" w:oddHBand="0" w:evenHBand="0" w:firstRowFirstColumn="0" w:firstRowLastColumn="0" w:lastRowFirstColumn="0" w:lastRowLastColumn="0"/>
          <w:tblHeader/>
        </w:trPr>
        <w:tc>
          <w:tcPr>
            <w:tcW w:w="0" w:type="auto"/>
          </w:tcPr>
          <w:p w14:paraId="7CC28608" w14:textId="77777777" w:rsidR="000D1FC8" w:rsidRDefault="007E4FB8">
            <w:pPr>
              <w:pStyle w:val="Compact"/>
              <w:jc w:val="center"/>
            </w:pPr>
            <w:r>
              <w:t>Model</w:t>
            </w:r>
          </w:p>
        </w:tc>
        <w:tc>
          <w:tcPr>
            <w:tcW w:w="0" w:type="auto"/>
          </w:tcPr>
          <w:p w14:paraId="7CC28609" w14:textId="77777777" w:rsidR="000D1FC8" w:rsidRDefault="007E4FB8">
            <w:pPr>
              <w:pStyle w:val="Compact"/>
              <w:jc w:val="center"/>
            </w:pP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sup>
              </m:sSup>
            </m:oMath>
            <w:r>
              <w:t xml:space="preserve"> (p-value)</w:t>
            </w:r>
          </w:p>
        </w:tc>
        <w:tc>
          <w:tcPr>
            <w:tcW w:w="0" w:type="auto"/>
          </w:tcPr>
          <w:p w14:paraId="7CC2860A" w14:textId="77777777" w:rsidR="000D1FC8" w:rsidRDefault="007E4FB8">
            <w:pPr>
              <w:pStyle w:val="Compact"/>
              <w:jc w:val="center"/>
            </w:pP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m:rPr>
                          <m:nor/>
                        </m:rPr>
                        <m:t>Sex (Male)</m:t>
                      </m:r>
                    </m:sub>
                  </m:sSub>
                </m:sup>
              </m:sSup>
            </m:oMath>
            <w:r>
              <w:t xml:space="preserve"> (p-value)</w:t>
            </w:r>
          </w:p>
        </w:tc>
        <w:tc>
          <w:tcPr>
            <w:tcW w:w="0" w:type="auto"/>
            <w:gridSpan w:val="2"/>
          </w:tcPr>
          <w:p w14:paraId="7CC2860B" w14:textId="77777777" w:rsidR="000D1FC8" w:rsidRDefault="007E4FB8">
            <w:pPr>
              <w:pStyle w:val="Compact"/>
              <w:jc w:val="center"/>
            </w:pP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m:rPr>
                          <m:nor/>
                        </m:rPr>
                        <m:t>Age (60+)</m:t>
                      </m:r>
                    </m:sub>
                  </m:sSub>
                </m:sup>
              </m:sSup>
            </m:oMath>
            <w:r>
              <w:t xml:space="preserve"> (p-value)</w:t>
            </w:r>
          </w:p>
        </w:tc>
        <w:tc>
          <w:tcPr>
            <w:tcW w:w="0" w:type="auto"/>
          </w:tcPr>
          <w:p w14:paraId="7CC2860C" w14:textId="77777777" w:rsidR="000D1FC8" w:rsidRDefault="007E4FB8">
            <w:pPr>
              <w:pStyle w:val="Compact"/>
              <w:jc w:val="center"/>
            </w:pPr>
            <w:r>
              <w:t>Sample size</w:t>
            </w:r>
          </w:p>
        </w:tc>
        <w:tc>
          <w:tcPr>
            <w:tcW w:w="0" w:type="auto"/>
          </w:tcPr>
          <w:p w14:paraId="7CC2860D" w14:textId="77777777" w:rsidR="000D1FC8" w:rsidRDefault="000D1FC8">
            <w:pPr>
              <w:pStyle w:val="Compact"/>
            </w:pPr>
          </w:p>
        </w:tc>
        <w:tc>
          <w:tcPr>
            <w:tcW w:w="0" w:type="auto"/>
          </w:tcPr>
          <w:p w14:paraId="7CC2860E" w14:textId="77777777" w:rsidR="000D1FC8" w:rsidRDefault="000D1FC8">
            <w:pPr>
              <w:pStyle w:val="Compact"/>
            </w:pPr>
          </w:p>
        </w:tc>
      </w:tr>
      <w:tr w:rsidR="000D1FC8" w14:paraId="7CC28617" w14:textId="77777777">
        <w:tc>
          <w:tcPr>
            <w:tcW w:w="0" w:type="auto"/>
          </w:tcPr>
          <w:p w14:paraId="7CC28610" w14:textId="77777777" w:rsidR="000D1FC8" w:rsidRDefault="007E4FB8">
            <w:pPr>
              <w:pStyle w:val="Compact"/>
              <w:jc w:val="center"/>
            </w:pPr>
            <w:r>
              <w:t>Only 2019</w:t>
            </w:r>
          </w:p>
        </w:tc>
        <w:tc>
          <w:tcPr>
            <w:tcW w:w="0" w:type="auto"/>
          </w:tcPr>
          <w:p w14:paraId="7CC28611" w14:textId="77777777" w:rsidR="000D1FC8" w:rsidRDefault="007E4FB8">
            <w:pPr>
              <w:pStyle w:val="Compact"/>
              <w:jc w:val="center"/>
            </w:pPr>
            <w:r>
              <w:t>0.60 (</w:t>
            </w:r>
            <m:oMath>
              <m:r>
                <m:rPr>
                  <m:sty m:val="p"/>
                </m:rPr>
                <w:rPr>
                  <w:rFonts w:ascii="Cambria Math" w:hAnsi="Cambria Math"/>
                </w:rPr>
                <m:t>&lt;</m:t>
              </m:r>
              <m:r>
                <w:rPr>
                  <w:rFonts w:ascii="Cambria Math" w:hAnsi="Cambria Math"/>
                </w:rPr>
                <m:t>0.0001</m:t>
              </m:r>
            </m:oMath>
            <w:r>
              <w:t>)</w:t>
            </w:r>
          </w:p>
        </w:tc>
        <w:tc>
          <w:tcPr>
            <w:tcW w:w="0" w:type="auto"/>
          </w:tcPr>
          <w:p w14:paraId="7CC28612" w14:textId="77777777" w:rsidR="000D1FC8" w:rsidRDefault="007E4FB8">
            <w:pPr>
              <w:pStyle w:val="Compact"/>
              <w:jc w:val="center"/>
            </w:pPr>
            <w:r>
              <w:t>1.15 (</w:t>
            </w:r>
            <m:oMath>
              <m:r>
                <m:rPr>
                  <m:sty m:val="p"/>
                </m:rPr>
                <w:rPr>
                  <w:rFonts w:ascii="Cambria Math" w:hAnsi="Cambria Math"/>
                </w:rPr>
                <m:t>&lt;</m:t>
              </m:r>
              <m:r>
                <w:rPr>
                  <w:rFonts w:ascii="Cambria Math" w:hAnsi="Cambria Math"/>
                </w:rPr>
                <m:t>0.0001</m:t>
              </m:r>
            </m:oMath>
            <w:r>
              <w:t>)</w:t>
            </w:r>
          </w:p>
        </w:tc>
        <w:tc>
          <w:tcPr>
            <w:tcW w:w="0" w:type="auto"/>
            <w:gridSpan w:val="2"/>
          </w:tcPr>
          <w:p w14:paraId="7CC28613" w14:textId="77777777" w:rsidR="000D1FC8" w:rsidRDefault="007E4FB8">
            <w:pPr>
              <w:pStyle w:val="Compact"/>
              <w:jc w:val="center"/>
            </w:pPr>
            <w:r>
              <w:t>1.74 (</w:t>
            </w:r>
            <m:oMath>
              <m:r>
                <m:rPr>
                  <m:sty m:val="p"/>
                </m:rPr>
                <w:rPr>
                  <w:rFonts w:ascii="Cambria Math" w:hAnsi="Cambria Math"/>
                </w:rPr>
                <m:t>&lt;</m:t>
              </m:r>
              <m:r>
                <w:rPr>
                  <w:rFonts w:ascii="Cambria Math" w:hAnsi="Cambria Math"/>
                </w:rPr>
                <m:t>0.0001</m:t>
              </m:r>
            </m:oMath>
            <w:r>
              <w:t>)</w:t>
            </w:r>
          </w:p>
        </w:tc>
        <w:tc>
          <w:tcPr>
            <w:tcW w:w="0" w:type="auto"/>
          </w:tcPr>
          <w:p w14:paraId="7CC28614" w14:textId="77777777" w:rsidR="000D1FC8" w:rsidRDefault="007E4FB8">
            <w:pPr>
              <w:pStyle w:val="Compact"/>
              <w:jc w:val="center"/>
            </w:pPr>
            <w:r>
              <w:t>75,218</w:t>
            </w:r>
          </w:p>
        </w:tc>
        <w:tc>
          <w:tcPr>
            <w:tcW w:w="0" w:type="auto"/>
          </w:tcPr>
          <w:p w14:paraId="7CC28615" w14:textId="77777777" w:rsidR="000D1FC8" w:rsidRDefault="000D1FC8">
            <w:pPr>
              <w:pStyle w:val="Compact"/>
            </w:pPr>
          </w:p>
        </w:tc>
        <w:tc>
          <w:tcPr>
            <w:tcW w:w="0" w:type="auto"/>
          </w:tcPr>
          <w:p w14:paraId="7CC28616" w14:textId="77777777" w:rsidR="000D1FC8" w:rsidRDefault="000D1FC8">
            <w:pPr>
              <w:pStyle w:val="Compact"/>
            </w:pPr>
          </w:p>
        </w:tc>
      </w:tr>
      <w:tr w:rsidR="000D1FC8" w14:paraId="7CC2861F" w14:textId="77777777">
        <w:tc>
          <w:tcPr>
            <w:tcW w:w="0" w:type="auto"/>
          </w:tcPr>
          <w:p w14:paraId="7CC28618" w14:textId="77777777" w:rsidR="000D1FC8" w:rsidRDefault="007E4FB8">
            <w:pPr>
              <w:pStyle w:val="Compact"/>
              <w:jc w:val="center"/>
            </w:pPr>
            <w:r>
              <w:t>Only 2020</w:t>
            </w:r>
          </w:p>
        </w:tc>
        <w:tc>
          <w:tcPr>
            <w:tcW w:w="0" w:type="auto"/>
          </w:tcPr>
          <w:p w14:paraId="7CC28619" w14:textId="77777777" w:rsidR="000D1FC8" w:rsidRDefault="007E4FB8">
            <w:pPr>
              <w:pStyle w:val="Compact"/>
              <w:jc w:val="center"/>
            </w:pPr>
            <w:r>
              <w:t>0.57 (</w:t>
            </w:r>
            <m:oMath>
              <m:r>
                <m:rPr>
                  <m:sty m:val="p"/>
                </m:rPr>
                <w:rPr>
                  <w:rFonts w:ascii="Cambria Math" w:hAnsi="Cambria Math"/>
                </w:rPr>
                <m:t>&lt;</m:t>
              </m:r>
              <m:r>
                <w:rPr>
                  <w:rFonts w:ascii="Cambria Math" w:hAnsi="Cambria Math"/>
                </w:rPr>
                <m:t>0.0001</m:t>
              </m:r>
            </m:oMath>
            <w:r>
              <w:t>)</w:t>
            </w:r>
          </w:p>
        </w:tc>
        <w:tc>
          <w:tcPr>
            <w:tcW w:w="0" w:type="auto"/>
          </w:tcPr>
          <w:p w14:paraId="7CC2861A" w14:textId="77777777" w:rsidR="000D1FC8" w:rsidRDefault="007E4FB8">
            <w:pPr>
              <w:pStyle w:val="Compact"/>
              <w:jc w:val="center"/>
            </w:pPr>
            <w:r>
              <w:t>1.14 (</w:t>
            </w:r>
            <m:oMath>
              <m:r>
                <m:rPr>
                  <m:sty m:val="p"/>
                </m:rPr>
                <w:rPr>
                  <w:rFonts w:ascii="Cambria Math" w:hAnsi="Cambria Math"/>
                </w:rPr>
                <m:t>&lt;</m:t>
              </m:r>
              <m:r>
                <w:rPr>
                  <w:rFonts w:ascii="Cambria Math" w:hAnsi="Cambria Math"/>
                </w:rPr>
                <m:t>0.0001</m:t>
              </m:r>
            </m:oMath>
            <w:r>
              <w:t>)</w:t>
            </w:r>
          </w:p>
        </w:tc>
        <w:tc>
          <w:tcPr>
            <w:tcW w:w="0" w:type="auto"/>
            <w:gridSpan w:val="2"/>
          </w:tcPr>
          <w:p w14:paraId="7CC2861B" w14:textId="77777777" w:rsidR="000D1FC8" w:rsidRDefault="007E4FB8">
            <w:pPr>
              <w:pStyle w:val="Compact"/>
              <w:jc w:val="center"/>
            </w:pPr>
            <w:r>
              <w:t>1.68 (</w:t>
            </w:r>
            <m:oMath>
              <m:r>
                <m:rPr>
                  <m:sty m:val="p"/>
                </m:rPr>
                <w:rPr>
                  <w:rFonts w:ascii="Cambria Math" w:hAnsi="Cambria Math"/>
                </w:rPr>
                <m:t>&lt;</m:t>
              </m:r>
              <m:r>
                <w:rPr>
                  <w:rFonts w:ascii="Cambria Math" w:hAnsi="Cambria Math"/>
                </w:rPr>
                <m:t>0.0001</m:t>
              </m:r>
            </m:oMath>
            <w:r>
              <w:t>)</w:t>
            </w:r>
          </w:p>
        </w:tc>
        <w:tc>
          <w:tcPr>
            <w:tcW w:w="0" w:type="auto"/>
          </w:tcPr>
          <w:p w14:paraId="7CC2861C" w14:textId="77777777" w:rsidR="000D1FC8" w:rsidRDefault="007E4FB8">
            <w:pPr>
              <w:pStyle w:val="Compact"/>
              <w:jc w:val="center"/>
            </w:pPr>
            <w:r>
              <w:t>73,477</w:t>
            </w:r>
          </w:p>
        </w:tc>
        <w:tc>
          <w:tcPr>
            <w:tcW w:w="0" w:type="auto"/>
          </w:tcPr>
          <w:p w14:paraId="7CC2861D" w14:textId="77777777" w:rsidR="000D1FC8" w:rsidRDefault="000D1FC8">
            <w:pPr>
              <w:pStyle w:val="Compact"/>
            </w:pPr>
          </w:p>
        </w:tc>
        <w:tc>
          <w:tcPr>
            <w:tcW w:w="0" w:type="auto"/>
          </w:tcPr>
          <w:p w14:paraId="7CC2861E" w14:textId="77777777" w:rsidR="000D1FC8" w:rsidRDefault="000D1FC8">
            <w:pPr>
              <w:pStyle w:val="Compact"/>
            </w:pPr>
          </w:p>
        </w:tc>
      </w:tr>
      <w:tr w:rsidR="000D1FC8" w14:paraId="7CC28627" w14:textId="77777777">
        <w:tc>
          <w:tcPr>
            <w:tcW w:w="0" w:type="auto"/>
          </w:tcPr>
          <w:p w14:paraId="7CC28620" w14:textId="77777777" w:rsidR="000D1FC8" w:rsidRDefault="007E4FB8">
            <w:pPr>
              <w:pStyle w:val="Compact"/>
              <w:jc w:val="center"/>
            </w:pPr>
            <w:r>
              <w:t>Only 2021</w:t>
            </w:r>
          </w:p>
        </w:tc>
        <w:tc>
          <w:tcPr>
            <w:tcW w:w="0" w:type="auto"/>
          </w:tcPr>
          <w:p w14:paraId="7CC28621" w14:textId="77777777" w:rsidR="000D1FC8" w:rsidRDefault="007E4FB8">
            <w:pPr>
              <w:pStyle w:val="Compact"/>
              <w:jc w:val="center"/>
            </w:pPr>
            <w:r>
              <w:t>0.64 (</w:t>
            </w:r>
            <m:oMath>
              <m:r>
                <m:rPr>
                  <m:sty m:val="p"/>
                </m:rPr>
                <w:rPr>
                  <w:rFonts w:ascii="Cambria Math" w:hAnsi="Cambria Math"/>
                </w:rPr>
                <m:t>&lt;</m:t>
              </m:r>
              <m:r>
                <w:rPr>
                  <w:rFonts w:ascii="Cambria Math" w:hAnsi="Cambria Math"/>
                </w:rPr>
                <m:t>0.0001</m:t>
              </m:r>
            </m:oMath>
            <w:r>
              <w:t>)</w:t>
            </w:r>
          </w:p>
        </w:tc>
        <w:tc>
          <w:tcPr>
            <w:tcW w:w="0" w:type="auto"/>
          </w:tcPr>
          <w:p w14:paraId="7CC28622" w14:textId="77777777" w:rsidR="000D1FC8" w:rsidRDefault="007E4FB8">
            <w:pPr>
              <w:pStyle w:val="Compact"/>
              <w:jc w:val="center"/>
            </w:pPr>
            <w:r>
              <w:t>1.15 (</w:t>
            </w:r>
            <m:oMath>
              <m:r>
                <m:rPr>
                  <m:sty m:val="p"/>
                </m:rPr>
                <w:rPr>
                  <w:rFonts w:ascii="Cambria Math" w:hAnsi="Cambria Math"/>
                </w:rPr>
                <m:t>&lt;</m:t>
              </m:r>
              <m:r>
                <w:rPr>
                  <w:rFonts w:ascii="Cambria Math" w:hAnsi="Cambria Math"/>
                </w:rPr>
                <m:t>0.0001</m:t>
              </m:r>
            </m:oMath>
            <w:r>
              <w:t>)</w:t>
            </w:r>
          </w:p>
        </w:tc>
        <w:tc>
          <w:tcPr>
            <w:tcW w:w="0" w:type="auto"/>
            <w:gridSpan w:val="2"/>
          </w:tcPr>
          <w:p w14:paraId="7CC28623" w14:textId="77777777" w:rsidR="000D1FC8" w:rsidRDefault="007E4FB8">
            <w:pPr>
              <w:pStyle w:val="Compact"/>
              <w:jc w:val="center"/>
            </w:pPr>
            <w:r>
              <w:t>1.63 (</w:t>
            </w:r>
            <m:oMath>
              <m:r>
                <m:rPr>
                  <m:sty m:val="p"/>
                </m:rPr>
                <w:rPr>
                  <w:rFonts w:ascii="Cambria Math" w:hAnsi="Cambria Math"/>
                </w:rPr>
                <m:t>&lt;</m:t>
              </m:r>
              <m:r>
                <w:rPr>
                  <w:rFonts w:ascii="Cambria Math" w:hAnsi="Cambria Math"/>
                </w:rPr>
                <m:t>0.0001</m:t>
              </m:r>
            </m:oMath>
            <w:r>
              <w:t>)</w:t>
            </w:r>
          </w:p>
        </w:tc>
        <w:tc>
          <w:tcPr>
            <w:tcW w:w="0" w:type="auto"/>
          </w:tcPr>
          <w:p w14:paraId="7CC28624" w14:textId="77777777" w:rsidR="000D1FC8" w:rsidRDefault="007E4FB8">
            <w:pPr>
              <w:pStyle w:val="Compact"/>
              <w:jc w:val="center"/>
            </w:pPr>
            <w:r>
              <w:t>86,737</w:t>
            </w:r>
          </w:p>
        </w:tc>
        <w:tc>
          <w:tcPr>
            <w:tcW w:w="0" w:type="auto"/>
          </w:tcPr>
          <w:p w14:paraId="7CC28625" w14:textId="77777777" w:rsidR="000D1FC8" w:rsidRDefault="000D1FC8">
            <w:pPr>
              <w:pStyle w:val="Compact"/>
            </w:pPr>
          </w:p>
        </w:tc>
        <w:tc>
          <w:tcPr>
            <w:tcW w:w="0" w:type="auto"/>
          </w:tcPr>
          <w:p w14:paraId="7CC28626" w14:textId="77777777" w:rsidR="000D1FC8" w:rsidRDefault="000D1FC8">
            <w:pPr>
              <w:pStyle w:val="Compact"/>
            </w:pPr>
          </w:p>
        </w:tc>
      </w:tr>
      <w:tr w:rsidR="000D1FC8" w14:paraId="7CC2862F" w14:textId="77777777">
        <w:tc>
          <w:tcPr>
            <w:tcW w:w="0" w:type="auto"/>
          </w:tcPr>
          <w:p w14:paraId="7CC28628" w14:textId="77777777" w:rsidR="000D1FC8" w:rsidRDefault="007E4FB8">
            <w:pPr>
              <w:pStyle w:val="Compact"/>
              <w:jc w:val="center"/>
            </w:pPr>
            <w:r>
              <w:t>Only 2022</w:t>
            </w:r>
          </w:p>
        </w:tc>
        <w:tc>
          <w:tcPr>
            <w:tcW w:w="0" w:type="auto"/>
          </w:tcPr>
          <w:p w14:paraId="7CC28629" w14:textId="77777777" w:rsidR="000D1FC8" w:rsidRDefault="007E4FB8">
            <w:pPr>
              <w:pStyle w:val="Compact"/>
              <w:jc w:val="center"/>
            </w:pPr>
            <w:r>
              <w:t>0.66 (</w:t>
            </w:r>
            <m:oMath>
              <m:r>
                <m:rPr>
                  <m:sty m:val="p"/>
                </m:rPr>
                <w:rPr>
                  <w:rFonts w:ascii="Cambria Math" w:hAnsi="Cambria Math"/>
                </w:rPr>
                <m:t>&lt;</m:t>
              </m:r>
              <m:r>
                <w:rPr>
                  <w:rFonts w:ascii="Cambria Math" w:hAnsi="Cambria Math"/>
                </w:rPr>
                <m:t>0.0001</m:t>
              </m:r>
            </m:oMath>
            <w:r>
              <w:t>)</w:t>
            </w:r>
          </w:p>
        </w:tc>
        <w:tc>
          <w:tcPr>
            <w:tcW w:w="0" w:type="auto"/>
          </w:tcPr>
          <w:p w14:paraId="7CC2862A" w14:textId="77777777" w:rsidR="000D1FC8" w:rsidRDefault="007E4FB8">
            <w:pPr>
              <w:pStyle w:val="Compact"/>
              <w:jc w:val="center"/>
            </w:pPr>
            <w:r>
              <w:t>1.15 (</w:t>
            </w:r>
            <m:oMath>
              <m:r>
                <m:rPr>
                  <m:sty m:val="p"/>
                </m:rPr>
                <w:rPr>
                  <w:rFonts w:ascii="Cambria Math" w:hAnsi="Cambria Math"/>
                </w:rPr>
                <m:t>&lt;</m:t>
              </m:r>
              <m:r>
                <w:rPr>
                  <w:rFonts w:ascii="Cambria Math" w:hAnsi="Cambria Math"/>
                </w:rPr>
                <m:t>0.0001</m:t>
              </m:r>
            </m:oMath>
            <w:r>
              <w:t>)</w:t>
            </w:r>
          </w:p>
        </w:tc>
        <w:tc>
          <w:tcPr>
            <w:tcW w:w="0" w:type="auto"/>
            <w:gridSpan w:val="2"/>
          </w:tcPr>
          <w:p w14:paraId="7CC2862B" w14:textId="77777777" w:rsidR="000D1FC8" w:rsidRDefault="007E4FB8">
            <w:pPr>
              <w:pStyle w:val="Compact"/>
              <w:jc w:val="center"/>
            </w:pPr>
            <w:r>
              <w:t>1.59 (</w:t>
            </w:r>
            <m:oMath>
              <m:r>
                <m:rPr>
                  <m:sty m:val="p"/>
                </m:rPr>
                <w:rPr>
                  <w:rFonts w:ascii="Cambria Math" w:hAnsi="Cambria Math"/>
                </w:rPr>
                <m:t>&lt;</m:t>
              </m:r>
              <m:r>
                <w:rPr>
                  <w:rFonts w:ascii="Cambria Math" w:hAnsi="Cambria Math"/>
                </w:rPr>
                <m:t>0.0001</m:t>
              </m:r>
            </m:oMath>
            <w:r>
              <w:t>)</w:t>
            </w:r>
          </w:p>
        </w:tc>
        <w:tc>
          <w:tcPr>
            <w:tcW w:w="0" w:type="auto"/>
          </w:tcPr>
          <w:p w14:paraId="7CC2862C" w14:textId="77777777" w:rsidR="000D1FC8" w:rsidRDefault="007E4FB8">
            <w:pPr>
              <w:pStyle w:val="Compact"/>
              <w:jc w:val="center"/>
            </w:pPr>
            <w:r>
              <w:t>91,188</w:t>
            </w:r>
          </w:p>
        </w:tc>
        <w:tc>
          <w:tcPr>
            <w:tcW w:w="0" w:type="auto"/>
          </w:tcPr>
          <w:p w14:paraId="7CC2862D" w14:textId="77777777" w:rsidR="000D1FC8" w:rsidRDefault="000D1FC8">
            <w:pPr>
              <w:pStyle w:val="Compact"/>
            </w:pPr>
          </w:p>
        </w:tc>
        <w:tc>
          <w:tcPr>
            <w:tcW w:w="0" w:type="auto"/>
          </w:tcPr>
          <w:p w14:paraId="7CC2862E" w14:textId="77777777" w:rsidR="000D1FC8" w:rsidRDefault="000D1FC8">
            <w:pPr>
              <w:pStyle w:val="Compact"/>
            </w:pPr>
          </w:p>
        </w:tc>
      </w:tr>
      <w:tr w:rsidR="000D1FC8" w14:paraId="7CC28637" w14:textId="77777777">
        <w:tc>
          <w:tcPr>
            <w:tcW w:w="0" w:type="auto"/>
          </w:tcPr>
          <w:p w14:paraId="7CC28630" w14:textId="77777777" w:rsidR="000D1FC8" w:rsidRDefault="007E4FB8">
            <w:pPr>
              <w:pStyle w:val="Compact"/>
              <w:jc w:val="center"/>
            </w:pPr>
            <w:r>
              <w:t>Full sample (without correction)</w:t>
            </w:r>
          </w:p>
        </w:tc>
        <w:tc>
          <w:tcPr>
            <w:tcW w:w="0" w:type="auto"/>
          </w:tcPr>
          <w:p w14:paraId="7CC28631" w14:textId="77777777" w:rsidR="000D1FC8" w:rsidRDefault="007E4FB8">
            <w:pPr>
              <w:pStyle w:val="Compact"/>
              <w:jc w:val="center"/>
            </w:pPr>
            <w:r>
              <w:t>0.62 (</w:t>
            </w:r>
            <m:oMath>
              <m:r>
                <m:rPr>
                  <m:sty m:val="p"/>
                </m:rPr>
                <w:rPr>
                  <w:rFonts w:ascii="Cambria Math" w:hAnsi="Cambria Math"/>
                </w:rPr>
                <m:t>&lt;</m:t>
              </m:r>
              <m:r>
                <w:rPr>
                  <w:rFonts w:ascii="Cambria Math" w:hAnsi="Cambria Math"/>
                </w:rPr>
                <m:t>0.0001</m:t>
              </m:r>
            </m:oMath>
            <w:r>
              <w:t>)</w:t>
            </w:r>
          </w:p>
        </w:tc>
        <w:tc>
          <w:tcPr>
            <w:tcW w:w="0" w:type="auto"/>
          </w:tcPr>
          <w:p w14:paraId="7CC28632" w14:textId="77777777" w:rsidR="000D1FC8" w:rsidRDefault="007E4FB8">
            <w:pPr>
              <w:pStyle w:val="Compact"/>
              <w:jc w:val="center"/>
            </w:pPr>
            <w:r>
              <w:t>1.15 (</w:t>
            </w:r>
            <m:oMath>
              <m:r>
                <m:rPr>
                  <m:sty m:val="p"/>
                </m:rPr>
                <w:rPr>
                  <w:rFonts w:ascii="Cambria Math" w:hAnsi="Cambria Math"/>
                </w:rPr>
                <m:t>&lt;</m:t>
              </m:r>
              <m:r>
                <w:rPr>
                  <w:rFonts w:ascii="Cambria Math" w:hAnsi="Cambria Math"/>
                </w:rPr>
                <m:t>0.0001</m:t>
              </m:r>
            </m:oMath>
            <w:r>
              <w:t>)</w:t>
            </w:r>
          </w:p>
        </w:tc>
        <w:tc>
          <w:tcPr>
            <w:tcW w:w="0" w:type="auto"/>
            <w:gridSpan w:val="2"/>
          </w:tcPr>
          <w:p w14:paraId="7CC28633" w14:textId="77777777" w:rsidR="000D1FC8" w:rsidRDefault="007E4FB8">
            <w:pPr>
              <w:pStyle w:val="Compact"/>
              <w:jc w:val="center"/>
            </w:pPr>
            <w:r>
              <w:t>1.65 (</w:t>
            </w:r>
            <m:oMath>
              <m:r>
                <m:rPr>
                  <m:sty m:val="p"/>
                </m:rPr>
                <w:rPr>
                  <w:rFonts w:ascii="Cambria Math" w:hAnsi="Cambria Math"/>
                </w:rPr>
                <m:t>&lt;</m:t>
              </m:r>
              <m:r>
                <w:rPr>
                  <w:rFonts w:ascii="Cambria Math" w:hAnsi="Cambria Math"/>
                </w:rPr>
                <m:t>0.0001</m:t>
              </m:r>
            </m:oMath>
            <w:r>
              <w:t>)</w:t>
            </w:r>
          </w:p>
        </w:tc>
        <w:tc>
          <w:tcPr>
            <w:tcW w:w="0" w:type="auto"/>
          </w:tcPr>
          <w:p w14:paraId="7CC28634" w14:textId="77777777" w:rsidR="000D1FC8" w:rsidRDefault="007E4FB8">
            <w:pPr>
              <w:pStyle w:val="Compact"/>
              <w:jc w:val="center"/>
            </w:pPr>
            <w:r>
              <w:t>326,620</w:t>
            </w:r>
          </w:p>
        </w:tc>
        <w:tc>
          <w:tcPr>
            <w:tcW w:w="0" w:type="auto"/>
          </w:tcPr>
          <w:p w14:paraId="7CC28635" w14:textId="77777777" w:rsidR="000D1FC8" w:rsidRDefault="000D1FC8">
            <w:pPr>
              <w:pStyle w:val="Compact"/>
            </w:pPr>
          </w:p>
        </w:tc>
        <w:tc>
          <w:tcPr>
            <w:tcW w:w="0" w:type="auto"/>
          </w:tcPr>
          <w:p w14:paraId="7CC28636" w14:textId="77777777" w:rsidR="000D1FC8" w:rsidRDefault="000D1FC8">
            <w:pPr>
              <w:pStyle w:val="Compact"/>
            </w:pPr>
          </w:p>
        </w:tc>
      </w:tr>
      <w:tr w:rsidR="000D1FC8" w14:paraId="7CC2863F" w14:textId="77777777">
        <w:tc>
          <w:tcPr>
            <w:tcW w:w="0" w:type="auto"/>
          </w:tcPr>
          <w:p w14:paraId="7CC28638" w14:textId="77777777" w:rsidR="000D1FC8" w:rsidRDefault="007E4FB8">
            <w:pPr>
              <w:pStyle w:val="Compact"/>
              <w:jc w:val="center"/>
            </w:pPr>
            <w:r>
              <w:t>Full sample (with global correction)</w:t>
            </w:r>
          </w:p>
        </w:tc>
        <w:tc>
          <w:tcPr>
            <w:tcW w:w="0" w:type="auto"/>
          </w:tcPr>
          <w:p w14:paraId="7CC28639" w14:textId="77777777" w:rsidR="000D1FC8" w:rsidRDefault="007E4FB8">
            <w:pPr>
              <w:pStyle w:val="Compact"/>
              <w:jc w:val="center"/>
            </w:pPr>
            <w:r>
              <w:t>0.58 (</w:t>
            </w:r>
            <m:oMath>
              <m:r>
                <m:rPr>
                  <m:sty m:val="p"/>
                </m:rPr>
                <w:rPr>
                  <w:rFonts w:ascii="Cambria Math" w:hAnsi="Cambria Math"/>
                </w:rPr>
                <m:t>&lt;</m:t>
              </m:r>
              <m:r>
                <w:rPr>
                  <w:rFonts w:ascii="Cambria Math" w:hAnsi="Cambria Math"/>
                </w:rPr>
                <m:t>0.0001</m:t>
              </m:r>
            </m:oMath>
            <w:r>
              <w:t>)</w:t>
            </w:r>
          </w:p>
        </w:tc>
        <w:tc>
          <w:tcPr>
            <w:tcW w:w="0" w:type="auto"/>
          </w:tcPr>
          <w:p w14:paraId="7CC2863A" w14:textId="77777777" w:rsidR="000D1FC8" w:rsidRDefault="007E4FB8">
            <w:pPr>
              <w:pStyle w:val="Compact"/>
              <w:jc w:val="center"/>
            </w:pPr>
            <w:r>
              <w:t>1.15 (</w:t>
            </w:r>
            <m:oMath>
              <m:r>
                <m:rPr>
                  <m:sty m:val="p"/>
                </m:rPr>
                <w:rPr>
                  <w:rFonts w:ascii="Cambria Math" w:hAnsi="Cambria Math"/>
                </w:rPr>
                <m:t>&lt;</m:t>
              </m:r>
              <m:r>
                <w:rPr>
                  <w:rFonts w:ascii="Cambria Math" w:hAnsi="Cambria Math"/>
                </w:rPr>
                <m:t>0.0001</m:t>
              </m:r>
            </m:oMath>
            <w:r>
              <w:t>)</w:t>
            </w:r>
          </w:p>
        </w:tc>
        <w:tc>
          <w:tcPr>
            <w:tcW w:w="0" w:type="auto"/>
            <w:gridSpan w:val="2"/>
          </w:tcPr>
          <w:p w14:paraId="7CC2863B" w14:textId="77777777" w:rsidR="000D1FC8" w:rsidRDefault="007E4FB8">
            <w:pPr>
              <w:pStyle w:val="Compact"/>
              <w:jc w:val="center"/>
            </w:pPr>
            <w:r>
              <w:t>1.67 (</w:t>
            </w:r>
            <m:oMath>
              <m:r>
                <m:rPr>
                  <m:sty m:val="p"/>
                </m:rPr>
                <w:rPr>
                  <w:rFonts w:ascii="Cambria Math" w:hAnsi="Cambria Math"/>
                </w:rPr>
                <m:t>&lt;</m:t>
              </m:r>
              <m:r>
                <w:rPr>
                  <w:rFonts w:ascii="Cambria Math" w:hAnsi="Cambria Math"/>
                </w:rPr>
                <m:t>0.0001</m:t>
              </m:r>
            </m:oMath>
            <w:r>
              <w:t>)</w:t>
            </w:r>
          </w:p>
        </w:tc>
        <w:tc>
          <w:tcPr>
            <w:tcW w:w="0" w:type="auto"/>
          </w:tcPr>
          <w:p w14:paraId="7CC2863C" w14:textId="77777777" w:rsidR="000D1FC8" w:rsidRDefault="007E4FB8">
            <w:pPr>
              <w:pStyle w:val="Compact"/>
              <w:jc w:val="center"/>
            </w:pPr>
            <w:r>
              <w:t>326,620</w:t>
            </w:r>
          </w:p>
        </w:tc>
        <w:tc>
          <w:tcPr>
            <w:tcW w:w="0" w:type="auto"/>
          </w:tcPr>
          <w:p w14:paraId="7CC2863D" w14:textId="77777777" w:rsidR="000D1FC8" w:rsidRDefault="000D1FC8">
            <w:pPr>
              <w:pStyle w:val="Compact"/>
            </w:pPr>
          </w:p>
        </w:tc>
        <w:tc>
          <w:tcPr>
            <w:tcW w:w="0" w:type="auto"/>
          </w:tcPr>
          <w:p w14:paraId="7CC2863E" w14:textId="77777777" w:rsidR="000D1FC8" w:rsidRDefault="000D1FC8">
            <w:pPr>
              <w:pStyle w:val="Compact"/>
            </w:pPr>
          </w:p>
        </w:tc>
      </w:tr>
      <w:tr w:rsidR="000D1FC8" w14:paraId="7CC28647" w14:textId="77777777">
        <w:tc>
          <w:tcPr>
            <w:tcW w:w="0" w:type="auto"/>
          </w:tcPr>
          <w:p w14:paraId="7CC28640" w14:textId="77777777" w:rsidR="000D1FC8" w:rsidRDefault="007E4FB8">
            <w:pPr>
              <w:pStyle w:val="Compact"/>
              <w:jc w:val="center"/>
            </w:pPr>
            <w:r>
              <w:t>Full sample (with specific correction)</w:t>
            </w:r>
          </w:p>
        </w:tc>
        <w:tc>
          <w:tcPr>
            <w:tcW w:w="0" w:type="auto"/>
          </w:tcPr>
          <w:p w14:paraId="7CC28641" w14:textId="77777777" w:rsidR="000D1FC8" w:rsidRDefault="007E4FB8">
            <w:pPr>
              <w:pStyle w:val="Compact"/>
              <w:jc w:val="center"/>
            </w:pPr>
            <w:r>
              <w:t>0.51 (</w:t>
            </w:r>
            <m:oMath>
              <m:r>
                <m:rPr>
                  <m:sty m:val="p"/>
                </m:rPr>
                <w:rPr>
                  <w:rFonts w:ascii="Cambria Math" w:hAnsi="Cambria Math"/>
                </w:rPr>
                <m:t>&lt;</m:t>
              </m:r>
              <m:r>
                <w:rPr>
                  <w:rFonts w:ascii="Cambria Math" w:hAnsi="Cambria Math"/>
                </w:rPr>
                <m:t>0.0001</m:t>
              </m:r>
            </m:oMath>
            <w:r>
              <w:t>)</w:t>
            </w:r>
          </w:p>
        </w:tc>
        <w:tc>
          <w:tcPr>
            <w:tcW w:w="0" w:type="auto"/>
          </w:tcPr>
          <w:p w14:paraId="7CC28642" w14:textId="77777777" w:rsidR="000D1FC8" w:rsidRDefault="007E4FB8">
            <w:pPr>
              <w:pStyle w:val="Compact"/>
              <w:jc w:val="center"/>
            </w:pPr>
            <w:r>
              <w:t>1.20 (</w:t>
            </w:r>
            <m:oMath>
              <m:r>
                <m:rPr>
                  <m:sty m:val="p"/>
                </m:rPr>
                <w:rPr>
                  <w:rFonts w:ascii="Cambria Math" w:hAnsi="Cambria Math"/>
                </w:rPr>
                <m:t>&lt;</m:t>
              </m:r>
              <m:r>
                <w:rPr>
                  <w:rFonts w:ascii="Cambria Math" w:hAnsi="Cambria Math"/>
                </w:rPr>
                <m:t>0.0001</m:t>
              </m:r>
            </m:oMath>
            <w:r>
              <w:t>)</w:t>
            </w:r>
          </w:p>
        </w:tc>
        <w:tc>
          <w:tcPr>
            <w:tcW w:w="0" w:type="auto"/>
            <w:gridSpan w:val="2"/>
          </w:tcPr>
          <w:p w14:paraId="7CC28643" w14:textId="77777777" w:rsidR="000D1FC8" w:rsidRDefault="007E4FB8">
            <w:pPr>
              <w:pStyle w:val="Compact"/>
              <w:jc w:val="center"/>
            </w:pPr>
            <w:r>
              <w:t>2.03 (</w:t>
            </w:r>
            <m:oMath>
              <m:r>
                <m:rPr>
                  <m:sty m:val="p"/>
                </m:rPr>
                <w:rPr>
                  <w:rFonts w:ascii="Cambria Math" w:hAnsi="Cambria Math"/>
                </w:rPr>
                <m:t>&lt;</m:t>
              </m:r>
              <m:r>
                <w:rPr>
                  <w:rFonts w:ascii="Cambria Math" w:hAnsi="Cambria Math"/>
                </w:rPr>
                <m:t>0.0001</m:t>
              </m:r>
            </m:oMath>
            <w:r>
              <w:t>)</w:t>
            </w:r>
          </w:p>
        </w:tc>
        <w:tc>
          <w:tcPr>
            <w:tcW w:w="0" w:type="auto"/>
          </w:tcPr>
          <w:p w14:paraId="7CC28644" w14:textId="77777777" w:rsidR="000D1FC8" w:rsidRDefault="007E4FB8">
            <w:pPr>
              <w:pStyle w:val="Compact"/>
              <w:jc w:val="center"/>
            </w:pPr>
            <w:r>
              <w:t>326,620</w:t>
            </w:r>
          </w:p>
        </w:tc>
        <w:tc>
          <w:tcPr>
            <w:tcW w:w="0" w:type="auto"/>
          </w:tcPr>
          <w:p w14:paraId="7CC28645" w14:textId="77777777" w:rsidR="000D1FC8" w:rsidRDefault="000D1FC8">
            <w:pPr>
              <w:pStyle w:val="Compact"/>
            </w:pPr>
          </w:p>
        </w:tc>
        <w:tc>
          <w:tcPr>
            <w:tcW w:w="0" w:type="auto"/>
          </w:tcPr>
          <w:p w14:paraId="7CC28646" w14:textId="77777777" w:rsidR="000D1FC8" w:rsidRDefault="000D1FC8">
            <w:pPr>
              <w:pStyle w:val="Compact"/>
            </w:pPr>
          </w:p>
        </w:tc>
      </w:tr>
      <w:tr w:rsidR="000D1FC8" w14:paraId="7CC2864F" w14:textId="77777777">
        <w:tc>
          <w:tcPr>
            <w:tcW w:w="0" w:type="auto"/>
          </w:tcPr>
          <w:p w14:paraId="7CC28648" w14:textId="77777777" w:rsidR="000D1FC8" w:rsidRDefault="000D1FC8">
            <w:pPr>
              <w:pStyle w:val="Compact"/>
            </w:pPr>
          </w:p>
        </w:tc>
        <w:tc>
          <w:tcPr>
            <w:tcW w:w="0" w:type="auto"/>
          </w:tcPr>
          <w:p w14:paraId="7CC28649" w14:textId="77777777" w:rsidR="000D1FC8" w:rsidRDefault="000D1FC8">
            <w:pPr>
              <w:pStyle w:val="Compact"/>
            </w:pPr>
          </w:p>
        </w:tc>
        <w:tc>
          <w:tcPr>
            <w:tcW w:w="0" w:type="auto"/>
          </w:tcPr>
          <w:p w14:paraId="7CC2864A" w14:textId="77777777" w:rsidR="000D1FC8" w:rsidRDefault="000D1FC8">
            <w:pPr>
              <w:pStyle w:val="Compact"/>
            </w:pPr>
          </w:p>
        </w:tc>
        <w:tc>
          <w:tcPr>
            <w:tcW w:w="0" w:type="auto"/>
            <w:gridSpan w:val="2"/>
          </w:tcPr>
          <w:p w14:paraId="7CC2864B" w14:textId="77777777" w:rsidR="000D1FC8" w:rsidRDefault="000D1FC8">
            <w:pPr>
              <w:pStyle w:val="Compact"/>
            </w:pPr>
          </w:p>
        </w:tc>
        <w:tc>
          <w:tcPr>
            <w:tcW w:w="0" w:type="auto"/>
          </w:tcPr>
          <w:p w14:paraId="7CC2864C" w14:textId="77777777" w:rsidR="000D1FC8" w:rsidRDefault="000D1FC8">
            <w:pPr>
              <w:pStyle w:val="Compact"/>
            </w:pPr>
          </w:p>
        </w:tc>
        <w:tc>
          <w:tcPr>
            <w:tcW w:w="0" w:type="auto"/>
          </w:tcPr>
          <w:p w14:paraId="7CC2864D" w14:textId="77777777" w:rsidR="000D1FC8" w:rsidRDefault="000D1FC8">
            <w:pPr>
              <w:pStyle w:val="Compact"/>
            </w:pPr>
          </w:p>
        </w:tc>
        <w:tc>
          <w:tcPr>
            <w:tcW w:w="0" w:type="auto"/>
          </w:tcPr>
          <w:p w14:paraId="7CC2864E" w14:textId="77777777" w:rsidR="000D1FC8" w:rsidRDefault="000D1FC8">
            <w:pPr>
              <w:pStyle w:val="Compact"/>
            </w:pPr>
          </w:p>
        </w:tc>
      </w:tr>
      <w:tr w:rsidR="000D1FC8" w14:paraId="7CC28658" w14:textId="77777777" w:rsidTr="000D1FC8">
        <w:trPr>
          <w:tblHeader/>
        </w:trPr>
        <w:tc>
          <w:tcPr>
            <w:tcW w:w="0" w:type="auto"/>
          </w:tcPr>
          <w:p w14:paraId="7CC28650" w14:textId="77777777" w:rsidR="000D1FC8" w:rsidRDefault="007E4FB8">
            <w:pPr>
              <w:pStyle w:val="Compact"/>
              <w:jc w:val="center"/>
            </w:pPr>
            <w:r>
              <w:t>Model</w:t>
            </w:r>
          </w:p>
        </w:tc>
        <w:tc>
          <w:tcPr>
            <w:tcW w:w="0" w:type="auto"/>
          </w:tcPr>
          <w:p w14:paraId="7CC28651" w14:textId="77777777" w:rsidR="000D1FC8" w:rsidRDefault="007E4FB8">
            <w:pPr>
              <w:pStyle w:val="Compact"/>
              <w:jc w:val="center"/>
            </w:pPr>
            <w:r>
              <w:t>0 claims</w:t>
            </w:r>
          </w:p>
        </w:tc>
        <w:tc>
          <w:tcPr>
            <w:tcW w:w="0" w:type="auto"/>
          </w:tcPr>
          <w:p w14:paraId="7CC28652" w14:textId="77777777" w:rsidR="000D1FC8" w:rsidRDefault="007E4FB8">
            <w:pPr>
              <w:pStyle w:val="Compact"/>
              <w:jc w:val="center"/>
            </w:pPr>
            <w:r>
              <w:t>1 claim</w:t>
            </w:r>
          </w:p>
        </w:tc>
        <w:tc>
          <w:tcPr>
            <w:tcW w:w="0" w:type="auto"/>
          </w:tcPr>
          <w:p w14:paraId="7CC28653" w14:textId="77777777" w:rsidR="000D1FC8" w:rsidRDefault="007E4FB8">
            <w:pPr>
              <w:pStyle w:val="Compact"/>
              <w:jc w:val="center"/>
            </w:pPr>
            <w:r>
              <w:t>2 claims</w:t>
            </w:r>
          </w:p>
        </w:tc>
        <w:tc>
          <w:tcPr>
            <w:tcW w:w="0" w:type="auto"/>
          </w:tcPr>
          <w:p w14:paraId="7CC28654" w14:textId="77777777" w:rsidR="000D1FC8" w:rsidRDefault="007E4FB8">
            <w:pPr>
              <w:pStyle w:val="Compact"/>
              <w:jc w:val="center"/>
            </w:pPr>
            <w:r>
              <w:t>3 claims</w:t>
            </w:r>
          </w:p>
        </w:tc>
        <w:tc>
          <w:tcPr>
            <w:tcW w:w="0" w:type="auto"/>
          </w:tcPr>
          <w:p w14:paraId="7CC28655" w14:textId="77777777" w:rsidR="000D1FC8" w:rsidRDefault="007E4FB8">
            <w:pPr>
              <w:pStyle w:val="Compact"/>
              <w:jc w:val="center"/>
            </w:pPr>
            <w:r>
              <w:t>4 claims</w:t>
            </w:r>
          </w:p>
        </w:tc>
        <w:tc>
          <w:tcPr>
            <w:tcW w:w="0" w:type="auto"/>
          </w:tcPr>
          <w:p w14:paraId="7CC28656" w14:textId="77777777" w:rsidR="000D1FC8" w:rsidRDefault="007E4FB8">
            <w:pPr>
              <w:pStyle w:val="Compact"/>
              <w:jc w:val="center"/>
            </w:pPr>
            <w:r>
              <w:t>5 or more claims</w:t>
            </w:r>
          </w:p>
        </w:tc>
        <w:tc>
          <w:tcPr>
            <w:tcW w:w="0" w:type="auto"/>
          </w:tcPr>
          <w:p w14:paraId="7CC28657" w14:textId="77777777" w:rsidR="000D1FC8" w:rsidRDefault="000D1FC8">
            <w:pPr>
              <w:pStyle w:val="Compact"/>
            </w:pPr>
          </w:p>
        </w:tc>
      </w:tr>
      <w:tr w:rsidR="000D1FC8" w14:paraId="7CC28661" w14:textId="77777777">
        <w:tc>
          <w:tcPr>
            <w:tcW w:w="0" w:type="auto"/>
          </w:tcPr>
          <w:p w14:paraId="7CC28659" w14:textId="77777777" w:rsidR="000D1FC8" w:rsidRDefault="007E4FB8">
            <w:pPr>
              <w:pStyle w:val="Compact"/>
              <w:jc w:val="center"/>
            </w:pPr>
            <w:r>
              <w:t>Observed</w:t>
            </w:r>
          </w:p>
        </w:tc>
        <w:tc>
          <w:tcPr>
            <w:tcW w:w="0" w:type="auto"/>
          </w:tcPr>
          <w:p w14:paraId="7CC2865A" w14:textId="77777777" w:rsidR="000D1FC8" w:rsidRDefault="007E4FB8">
            <w:pPr>
              <w:pStyle w:val="Compact"/>
              <w:jc w:val="center"/>
            </w:pPr>
            <w:r>
              <w:t>150,670</w:t>
            </w:r>
          </w:p>
        </w:tc>
        <w:tc>
          <w:tcPr>
            <w:tcW w:w="0" w:type="auto"/>
          </w:tcPr>
          <w:p w14:paraId="7CC2865B" w14:textId="77777777" w:rsidR="000D1FC8" w:rsidRDefault="007E4FB8">
            <w:pPr>
              <w:pStyle w:val="Compact"/>
              <w:jc w:val="center"/>
            </w:pPr>
            <w:r>
              <w:t>120,040</w:t>
            </w:r>
          </w:p>
        </w:tc>
        <w:tc>
          <w:tcPr>
            <w:tcW w:w="0" w:type="auto"/>
          </w:tcPr>
          <w:p w14:paraId="7CC2865C" w14:textId="77777777" w:rsidR="000D1FC8" w:rsidRDefault="007E4FB8">
            <w:pPr>
              <w:pStyle w:val="Compact"/>
              <w:jc w:val="center"/>
            </w:pPr>
            <w:r>
              <w:t>38,283</w:t>
            </w:r>
          </w:p>
        </w:tc>
        <w:tc>
          <w:tcPr>
            <w:tcW w:w="0" w:type="auto"/>
          </w:tcPr>
          <w:p w14:paraId="7CC2865D" w14:textId="77777777" w:rsidR="000D1FC8" w:rsidRDefault="007E4FB8">
            <w:pPr>
              <w:pStyle w:val="Compact"/>
              <w:jc w:val="center"/>
            </w:pPr>
            <w:r>
              <w:t>11,499</w:t>
            </w:r>
          </w:p>
        </w:tc>
        <w:tc>
          <w:tcPr>
            <w:tcW w:w="0" w:type="auto"/>
          </w:tcPr>
          <w:p w14:paraId="7CC2865E" w14:textId="77777777" w:rsidR="000D1FC8" w:rsidRDefault="007E4FB8">
            <w:pPr>
              <w:pStyle w:val="Compact"/>
              <w:jc w:val="center"/>
            </w:pPr>
            <w:r>
              <w:t>3,861</w:t>
            </w:r>
          </w:p>
        </w:tc>
        <w:tc>
          <w:tcPr>
            <w:tcW w:w="0" w:type="auto"/>
          </w:tcPr>
          <w:p w14:paraId="7CC2865F" w14:textId="77777777" w:rsidR="000D1FC8" w:rsidRDefault="007E4FB8">
            <w:pPr>
              <w:pStyle w:val="Compact"/>
              <w:jc w:val="center"/>
            </w:pPr>
            <w:r>
              <w:t>2,267</w:t>
            </w:r>
          </w:p>
        </w:tc>
        <w:tc>
          <w:tcPr>
            <w:tcW w:w="0" w:type="auto"/>
          </w:tcPr>
          <w:p w14:paraId="7CC28660" w14:textId="77777777" w:rsidR="000D1FC8" w:rsidRDefault="000D1FC8">
            <w:pPr>
              <w:pStyle w:val="Compact"/>
            </w:pPr>
          </w:p>
        </w:tc>
      </w:tr>
      <w:tr w:rsidR="000D1FC8" w14:paraId="7CC2866A" w14:textId="77777777">
        <w:tc>
          <w:tcPr>
            <w:tcW w:w="0" w:type="auto"/>
          </w:tcPr>
          <w:p w14:paraId="7CC28662" w14:textId="77777777" w:rsidR="000D1FC8" w:rsidRDefault="007E4FB8">
            <w:pPr>
              <w:pStyle w:val="Compact"/>
              <w:jc w:val="center"/>
            </w:pPr>
            <w:r>
              <w:t>Full sample (without correction)</w:t>
            </w:r>
          </w:p>
        </w:tc>
        <w:tc>
          <w:tcPr>
            <w:tcW w:w="0" w:type="auto"/>
          </w:tcPr>
          <w:p w14:paraId="7CC28663" w14:textId="77777777" w:rsidR="000D1FC8" w:rsidRDefault="007E4FB8">
            <w:pPr>
              <w:pStyle w:val="Compact"/>
              <w:jc w:val="center"/>
            </w:pPr>
            <w:r>
              <w:t>150,562.9</w:t>
            </w:r>
          </w:p>
        </w:tc>
        <w:tc>
          <w:tcPr>
            <w:tcW w:w="0" w:type="auto"/>
          </w:tcPr>
          <w:p w14:paraId="7CC28664" w14:textId="77777777" w:rsidR="000D1FC8" w:rsidRDefault="007E4FB8">
            <w:pPr>
              <w:pStyle w:val="Compact"/>
              <w:jc w:val="center"/>
            </w:pPr>
            <w:r>
              <w:t>113,790.0</w:t>
            </w:r>
          </w:p>
        </w:tc>
        <w:tc>
          <w:tcPr>
            <w:tcW w:w="0" w:type="auto"/>
          </w:tcPr>
          <w:p w14:paraId="7CC28665" w14:textId="77777777" w:rsidR="000D1FC8" w:rsidRDefault="007E4FB8">
            <w:pPr>
              <w:pStyle w:val="Compact"/>
              <w:jc w:val="center"/>
            </w:pPr>
            <w:r>
              <w:t>45,585.7</w:t>
            </w:r>
          </w:p>
        </w:tc>
        <w:tc>
          <w:tcPr>
            <w:tcW w:w="0" w:type="auto"/>
          </w:tcPr>
          <w:p w14:paraId="7CC28666" w14:textId="77777777" w:rsidR="000D1FC8" w:rsidRDefault="007E4FB8">
            <w:pPr>
              <w:pStyle w:val="Compact"/>
              <w:jc w:val="center"/>
            </w:pPr>
            <w:r>
              <w:t>13,008.4</w:t>
            </w:r>
          </w:p>
        </w:tc>
        <w:tc>
          <w:tcPr>
            <w:tcW w:w="0" w:type="auto"/>
          </w:tcPr>
          <w:p w14:paraId="7CC28667" w14:textId="77777777" w:rsidR="000D1FC8" w:rsidRDefault="007E4FB8">
            <w:pPr>
              <w:pStyle w:val="Compact"/>
              <w:jc w:val="center"/>
            </w:pPr>
            <w:r>
              <w:t>2,977.5</w:t>
            </w:r>
          </w:p>
        </w:tc>
        <w:tc>
          <w:tcPr>
            <w:tcW w:w="0" w:type="auto"/>
          </w:tcPr>
          <w:p w14:paraId="7CC28668" w14:textId="77777777" w:rsidR="000D1FC8" w:rsidRDefault="007E4FB8">
            <w:pPr>
              <w:pStyle w:val="Compact"/>
              <w:jc w:val="center"/>
            </w:pPr>
            <w:r>
              <w:t>695.5</w:t>
            </w:r>
          </w:p>
        </w:tc>
        <w:tc>
          <w:tcPr>
            <w:tcW w:w="0" w:type="auto"/>
          </w:tcPr>
          <w:p w14:paraId="7CC28669" w14:textId="77777777" w:rsidR="000D1FC8" w:rsidRDefault="000D1FC8">
            <w:pPr>
              <w:pStyle w:val="Compact"/>
            </w:pPr>
          </w:p>
        </w:tc>
      </w:tr>
      <w:tr w:rsidR="000D1FC8" w14:paraId="7CC28673" w14:textId="77777777">
        <w:tc>
          <w:tcPr>
            <w:tcW w:w="0" w:type="auto"/>
          </w:tcPr>
          <w:p w14:paraId="7CC2866B" w14:textId="77777777" w:rsidR="000D1FC8" w:rsidRDefault="007E4FB8">
            <w:pPr>
              <w:pStyle w:val="Compact"/>
              <w:jc w:val="center"/>
            </w:pPr>
            <w:r>
              <w:t>Full sample (with global correction)</w:t>
            </w:r>
          </w:p>
        </w:tc>
        <w:tc>
          <w:tcPr>
            <w:tcW w:w="0" w:type="auto"/>
          </w:tcPr>
          <w:p w14:paraId="7CC2866C" w14:textId="77777777" w:rsidR="000D1FC8" w:rsidRDefault="007E4FB8">
            <w:pPr>
              <w:pStyle w:val="Compact"/>
              <w:jc w:val="center"/>
            </w:pPr>
            <w:r>
              <w:t>158,908.3</w:t>
            </w:r>
          </w:p>
        </w:tc>
        <w:tc>
          <w:tcPr>
            <w:tcW w:w="0" w:type="auto"/>
          </w:tcPr>
          <w:p w14:paraId="7CC2866D" w14:textId="77777777" w:rsidR="000D1FC8" w:rsidRDefault="007E4FB8">
            <w:pPr>
              <w:pStyle w:val="Compact"/>
              <w:jc w:val="center"/>
            </w:pPr>
            <w:r>
              <w:t>111,823.1</w:t>
            </w:r>
          </w:p>
        </w:tc>
        <w:tc>
          <w:tcPr>
            <w:tcW w:w="0" w:type="auto"/>
          </w:tcPr>
          <w:p w14:paraId="7CC2866E" w14:textId="77777777" w:rsidR="000D1FC8" w:rsidRDefault="007E4FB8">
            <w:pPr>
              <w:pStyle w:val="Compact"/>
              <w:jc w:val="center"/>
            </w:pPr>
            <w:r>
              <w:t>41,812.7</w:t>
            </w:r>
          </w:p>
        </w:tc>
        <w:tc>
          <w:tcPr>
            <w:tcW w:w="0" w:type="auto"/>
          </w:tcPr>
          <w:p w14:paraId="7CC2866F" w14:textId="77777777" w:rsidR="000D1FC8" w:rsidRDefault="007E4FB8">
            <w:pPr>
              <w:pStyle w:val="Compact"/>
              <w:jc w:val="center"/>
            </w:pPr>
            <w:r>
              <w:t>11,163.0</w:t>
            </w:r>
          </w:p>
        </w:tc>
        <w:tc>
          <w:tcPr>
            <w:tcW w:w="0" w:type="auto"/>
          </w:tcPr>
          <w:p w14:paraId="7CC28670" w14:textId="77777777" w:rsidR="000D1FC8" w:rsidRDefault="007E4FB8">
            <w:pPr>
              <w:pStyle w:val="Compact"/>
              <w:jc w:val="center"/>
            </w:pPr>
            <w:r>
              <w:t>2,394.6</w:t>
            </w:r>
          </w:p>
        </w:tc>
        <w:tc>
          <w:tcPr>
            <w:tcW w:w="0" w:type="auto"/>
          </w:tcPr>
          <w:p w14:paraId="7CC28671" w14:textId="77777777" w:rsidR="000D1FC8" w:rsidRDefault="007E4FB8">
            <w:pPr>
              <w:pStyle w:val="Compact"/>
              <w:jc w:val="center"/>
            </w:pPr>
            <w:r>
              <w:t>518.2</w:t>
            </w:r>
          </w:p>
        </w:tc>
        <w:tc>
          <w:tcPr>
            <w:tcW w:w="0" w:type="auto"/>
          </w:tcPr>
          <w:p w14:paraId="7CC28672" w14:textId="77777777" w:rsidR="000D1FC8" w:rsidRDefault="000D1FC8">
            <w:pPr>
              <w:pStyle w:val="Compact"/>
            </w:pPr>
          </w:p>
        </w:tc>
      </w:tr>
      <w:tr w:rsidR="000D1FC8" w14:paraId="7CC2867C" w14:textId="77777777">
        <w:tc>
          <w:tcPr>
            <w:tcW w:w="0" w:type="auto"/>
          </w:tcPr>
          <w:p w14:paraId="7CC28674" w14:textId="77777777" w:rsidR="000D1FC8" w:rsidRDefault="007E4FB8">
            <w:pPr>
              <w:pStyle w:val="Compact"/>
              <w:jc w:val="center"/>
            </w:pPr>
            <w:r>
              <w:t>Full sample (with specific correction)</w:t>
            </w:r>
          </w:p>
        </w:tc>
        <w:tc>
          <w:tcPr>
            <w:tcW w:w="0" w:type="auto"/>
          </w:tcPr>
          <w:p w14:paraId="7CC28675" w14:textId="77777777" w:rsidR="000D1FC8" w:rsidRDefault="007E4FB8">
            <w:pPr>
              <w:pStyle w:val="Compact"/>
              <w:jc w:val="center"/>
            </w:pPr>
            <w:r>
              <w:t>163,809.8</w:t>
            </w:r>
          </w:p>
        </w:tc>
        <w:tc>
          <w:tcPr>
            <w:tcW w:w="0" w:type="auto"/>
          </w:tcPr>
          <w:p w14:paraId="7CC28676" w14:textId="77777777" w:rsidR="000D1FC8" w:rsidRDefault="007E4FB8">
            <w:pPr>
              <w:pStyle w:val="Compact"/>
              <w:jc w:val="center"/>
            </w:pPr>
            <w:r>
              <w:t>108,088.0</w:t>
            </w:r>
          </w:p>
        </w:tc>
        <w:tc>
          <w:tcPr>
            <w:tcW w:w="0" w:type="auto"/>
          </w:tcPr>
          <w:p w14:paraId="7CC28677" w14:textId="77777777" w:rsidR="000D1FC8" w:rsidRDefault="007E4FB8">
            <w:pPr>
              <w:pStyle w:val="Compact"/>
              <w:jc w:val="center"/>
            </w:pPr>
            <w:r>
              <w:t>40,061,1</w:t>
            </w:r>
          </w:p>
        </w:tc>
        <w:tc>
          <w:tcPr>
            <w:tcW w:w="0" w:type="auto"/>
          </w:tcPr>
          <w:p w14:paraId="7CC28678" w14:textId="77777777" w:rsidR="000D1FC8" w:rsidRDefault="007E4FB8">
            <w:pPr>
              <w:pStyle w:val="Compact"/>
              <w:jc w:val="center"/>
            </w:pPr>
            <w:r>
              <w:t>11,289.5</w:t>
            </w:r>
          </w:p>
        </w:tc>
        <w:tc>
          <w:tcPr>
            <w:tcW w:w="0" w:type="auto"/>
          </w:tcPr>
          <w:p w14:paraId="7CC28679" w14:textId="77777777" w:rsidR="000D1FC8" w:rsidRDefault="007E4FB8">
            <w:pPr>
              <w:pStyle w:val="Compact"/>
              <w:jc w:val="center"/>
            </w:pPr>
            <w:r>
              <w:t>2,688.8</w:t>
            </w:r>
          </w:p>
        </w:tc>
        <w:tc>
          <w:tcPr>
            <w:tcW w:w="0" w:type="auto"/>
          </w:tcPr>
          <w:p w14:paraId="7CC2867A" w14:textId="77777777" w:rsidR="000D1FC8" w:rsidRDefault="007E4FB8">
            <w:pPr>
              <w:pStyle w:val="Compact"/>
              <w:jc w:val="center"/>
            </w:pPr>
            <w:r>
              <w:t>682.8</w:t>
            </w:r>
          </w:p>
        </w:tc>
        <w:tc>
          <w:tcPr>
            <w:tcW w:w="0" w:type="auto"/>
          </w:tcPr>
          <w:p w14:paraId="7CC2867B" w14:textId="77777777" w:rsidR="000D1FC8" w:rsidRDefault="000D1FC8">
            <w:pPr>
              <w:pStyle w:val="Compact"/>
            </w:pPr>
          </w:p>
        </w:tc>
      </w:tr>
      <w:tr w:rsidR="000D1FC8" w14:paraId="7CC28685" w14:textId="77777777">
        <w:tc>
          <w:tcPr>
            <w:tcW w:w="0" w:type="auto"/>
          </w:tcPr>
          <w:p w14:paraId="7CC2867D" w14:textId="77777777" w:rsidR="000D1FC8" w:rsidRDefault="000D1FC8">
            <w:pPr>
              <w:pStyle w:val="Compact"/>
            </w:pPr>
          </w:p>
        </w:tc>
        <w:tc>
          <w:tcPr>
            <w:tcW w:w="0" w:type="auto"/>
          </w:tcPr>
          <w:p w14:paraId="7CC2867E" w14:textId="77777777" w:rsidR="000D1FC8" w:rsidRDefault="000D1FC8">
            <w:pPr>
              <w:pStyle w:val="Compact"/>
            </w:pPr>
          </w:p>
        </w:tc>
        <w:tc>
          <w:tcPr>
            <w:tcW w:w="0" w:type="auto"/>
          </w:tcPr>
          <w:p w14:paraId="7CC2867F" w14:textId="77777777" w:rsidR="000D1FC8" w:rsidRDefault="000D1FC8">
            <w:pPr>
              <w:pStyle w:val="Compact"/>
            </w:pPr>
          </w:p>
        </w:tc>
        <w:tc>
          <w:tcPr>
            <w:tcW w:w="0" w:type="auto"/>
          </w:tcPr>
          <w:p w14:paraId="7CC28680" w14:textId="77777777" w:rsidR="000D1FC8" w:rsidRDefault="000D1FC8">
            <w:pPr>
              <w:pStyle w:val="Compact"/>
            </w:pPr>
          </w:p>
        </w:tc>
        <w:tc>
          <w:tcPr>
            <w:tcW w:w="0" w:type="auto"/>
          </w:tcPr>
          <w:p w14:paraId="7CC28681" w14:textId="77777777" w:rsidR="000D1FC8" w:rsidRDefault="000D1FC8">
            <w:pPr>
              <w:pStyle w:val="Compact"/>
            </w:pPr>
          </w:p>
        </w:tc>
        <w:tc>
          <w:tcPr>
            <w:tcW w:w="0" w:type="auto"/>
          </w:tcPr>
          <w:p w14:paraId="7CC28682" w14:textId="77777777" w:rsidR="000D1FC8" w:rsidRDefault="000D1FC8">
            <w:pPr>
              <w:pStyle w:val="Compact"/>
            </w:pPr>
          </w:p>
        </w:tc>
        <w:tc>
          <w:tcPr>
            <w:tcW w:w="0" w:type="auto"/>
          </w:tcPr>
          <w:p w14:paraId="7CC28683" w14:textId="77777777" w:rsidR="000D1FC8" w:rsidRDefault="000D1FC8">
            <w:pPr>
              <w:pStyle w:val="Compact"/>
            </w:pPr>
          </w:p>
        </w:tc>
        <w:tc>
          <w:tcPr>
            <w:tcW w:w="0" w:type="auto"/>
          </w:tcPr>
          <w:p w14:paraId="7CC28684" w14:textId="77777777" w:rsidR="000D1FC8" w:rsidRDefault="000D1FC8">
            <w:pPr>
              <w:pStyle w:val="Compact"/>
            </w:pPr>
          </w:p>
        </w:tc>
      </w:tr>
    </w:tbl>
    <w:p w14:paraId="7CC28686" w14:textId="77777777" w:rsidR="000D1FC8" w:rsidRDefault="007E4FB8">
      <w:pPr>
        <w:pStyle w:val="Textoindependiente"/>
      </w:pPr>
      <w:r>
        <w:t>As shown in Table </w:t>
      </w:r>
      <w:hyperlink w:anchor="tab2">
        <w:r>
          <w:rPr>
            <w:rStyle w:val="Hipervnculo"/>
          </w:rPr>
          <w:t>[tab2]</w:t>
        </w:r>
      </w:hyperlink>
      <w:r>
        <w:t>, the observed data is better fitted by the Poisson regression model without any correction, because the global and specific correction are modelling (with less and more detail respectively) the counterfactual that the im</w:t>
      </w:r>
      <w:r>
        <w:t xml:space="preserve">pact of the COVID-19 pandemic is negligible. In this way, insurance companies could use </w:t>
      </w:r>
      <w:r>
        <w:lastRenderedPageBreak/>
        <w:t>the whole information in order to compare the temporal behaviour of usage series, without excluding any year. In addition, the last row of Table </w:t>
      </w:r>
      <w:hyperlink w:anchor="tab2">
        <w:r>
          <w:rPr>
            <w:rStyle w:val="Hipervnculo"/>
          </w:rPr>
          <w:t>[tab2]</w:t>
        </w:r>
      </w:hyperlink>
      <w:r>
        <w:t xml:space="preserve"> refers to what the outcome distribution would have been in the absence of the pandemic shock. The full sample model with specific correction is the one than reports the expected behaviour net of the pandemic shoc</w:t>
      </w:r>
      <w:r>
        <w:t>k, and comparison with the non-corrected full model, shows how the estimated incidences impact on the final premiums.</w:t>
      </w:r>
    </w:p>
    <w:p w14:paraId="7CC28687" w14:textId="77777777" w:rsidR="000D1FC8" w:rsidRDefault="007E4FB8">
      <w:pPr>
        <w:pStyle w:val="Textoindependiente"/>
      </w:pPr>
      <w:r>
        <w:t xml:space="preserve">If costs information is available, the proposed approach could be used to estimate the cost per year removing the impact of the shock. In </w:t>
      </w:r>
      <w:r>
        <w:t>our case, taking an average unitary cost of 50€ per visit to the Cardiology service, it can be seen from Table </w:t>
      </w:r>
      <w:hyperlink w:anchor="tab2">
        <w:r>
          <w:rPr>
            <w:rStyle w:val="Hipervnculo"/>
          </w:rPr>
          <w:t>[tab2]</w:t>
        </w:r>
      </w:hyperlink>
      <w:r>
        <w:t xml:space="preserve"> that the accumulated cost of Cardiology visits over the period 2019-2022 is ar</w:t>
      </w:r>
      <w:r>
        <w:t>ound 12,975,500€. The actual cost per year is 3,020,850€ in 2019, 2,704,550€ in 2020, 3,489,900€ in 2021 and 3,760,200€ in 2022. Using the global adjustment, the total cost removing the impact of the pandemic can be estimated as 12,184,867€, so that implie</w:t>
      </w:r>
      <w:r>
        <w:t>s an over cost equal to 790,633€ (12,975,500€-12,184,867€). With a specific age/gender correction the estimated excess cost equals 987,116€.</w:t>
      </w:r>
    </w:p>
    <w:p w14:paraId="7CC28688" w14:textId="77777777" w:rsidR="000D1FC8" w:rsidRDefault="007E4FB8">
      <w:pPr>
        <w:pStyle w:val="Textoindependiente"/>
      </w:pPr>
      <w:r>
        <w:t>Usage of other services like General Medicine was also analyzed as described in detail for Cardiology, and the resu</w:t>
      </w:r>
      <w:r>
        <w:t>lts were very similar to those reported in this section.</w:t>
      </w:r>
    </w:p>
    <w:p w14:paraId="7CC28689" w14:textId="77777777" w:rsidR="000D1FC8" w:rsidRDefault="007E4FB8">
      <w:pPr>
        <w:pStyle w:val="Ttulo1"/>
      </w:pPr>
      <w:bookmarkStart w:id="9" w:name="discussion"/>
      <w:bookmarkEnd w:id="8"/>
      <w:r>
        <w:t>Discussion</w:t>
      </w:r>
    </w:p>
    <w:p w14:paraId="7CC2868A" w14:textId="77777777" w:rsidR="000D1FC8" w:rsidRDefault="007E4FB8">
      <w:pPr>
        <w:pStyle w:val="FirstParagraph"/>
      </w:pPr>
      <w:r>
        <w:t>The proposed method is capable of estimating the impact of the COVID-19 pandemic in the usage of services associated to private health insurances. Our analysis of an insurance portfolio in</w:t>
      </w:r>
      <w:r>
        <w:t xml:space="preserve"> Spain shows that a remarkable decrease is observed in 2020 compared to the previous year, regardless of the specific service or geographic area. On the other hand, and more interestingly, our model can also estimate the posterior impact due to COVID-19 pa</w:t>
      </w:r>
      <w:r>
        <w:t>ndemic consequences, that can be translated as an increase in the usage in general (up to 29% and 39% in Valencia in 2021 and 2022 respectively), less clear when looking at specific services or geographic areas, probably because the increase is more subtle</w:t>
      </w:r>
      <w:r>
        <w:t xml:space="preserve"> than the decrease during the lock-down and the time series is too short. In this sense, it would be interesting to analyze the behavior of the series when more recent data become available. As can be seen in Table </w:t>
      </w:r>
      <w:hyperlink w:anchor="tab3">
        <w:r>
          <w:rPr>
            <w:rStyle w:val="Hipervnculo"/>
          </w:rPr>
          <w:t>[tab3]</w:t>
        </w:r>
      </w:hyperlink>
      <w:r>
        <w:t>, the 2020 decrease is more relevant in less urgent services as osteopathy, while the usage of some services as cardiology or oncology could not be reduced beyond a reasonable limit.</w:t>
      </w:r>
    </w:p>
    <w:p w14:paraId="7CC2868B" w14:textId="77777777" w:rsidR="000D1FC8" w:rsidRDefault="007E4FB8">
      <w:pPr>
        <w:pStyle w:val="Textoindependiente"/>
      </w:pPr>
      <w:r>
        <w:t xml:space="preserve">From the insurance companies point of view, the </w:t>
      </w:r>
      <w:r>
        <w:t xml:space="preserve">proposed methodology offers a convenient alternative to prepare the data before implementing their pricing models for their products on the basis of realistic estimations, overcoming the most common approach to the date, which is simply to ignore the year </w:t>
      </w:r>
      <w:r>
        <w:t>2020 and therefore overlooking the posterior overuse of health services due to the consequences of the COVID-19 pandemic. Also from the healthcare perspective, it is interesting to notice the differential behavior of the oldest population, as it is known t</w:t>
      </w:r>
      <w:r>
        <w:t>hat the larger health expenditure occurs a few years before decease(Lubitz and Prihoda 1984; Scitovsky 2005).</w:t>
      </w:r>
    </w:p>
    <w:p w14:paraId="7CC2868C" w14:textId="77777777" w:rsidR="000D1FC8" w:rsidRDefault="007E4FB8">
      <w:pPr>
        <w:pStyle w:val="Ttulo1"/>
      </w:pPr>
      <w:bookmarkStart w:id="10" w:name="conclusion"/>
      <w:bookmarkEnd w:id="9"/>
      <w:r>
        <w:lastRenderedPageBreak/>
        <w:t>Conclusion</w:t>
      </w:r>
    </w:p>
    <w:p w14:paraId="7CC2868D" w14:textId="77777777" w:rsidR="000D1FC8" w:rsidRDefault="007E4FB8">
      <w:pPr>
        <w:pStyle w:val="FirstParagraph"/>
      </w:pPr>
      <w:r>
        <w:t xml:space="preserve">When considering claim frequency data that night be affected by a pandemic shock, the identification of the impact can help understand </w:t>
      </w:r>
      <w:r>
        <w:t>the expected future trends. In our illustration, our results indicate little need for concern about the effects of the pandemic on claiming frequency in health insurance after 2021 for some specific groups. Old adults and some medical specialties seem to h</w:t>
      </w:r>
      <w:r>
        <w:t xml:space="preserve">ave returned to the pre-pandemic usage levels (though some services like general practitioner visits may still present unusually high frequency values). An average yearly effect was calculated for the assessment of the impact of the pandemic shock in 2021 </w:t>
      </w:r>
      <w:r>
        <w:t>and 2022, by service and subgroups of insureds.</w:t>
      </w:r>
    </w:p>
    <w:p w14:paraId="7CC2868E" w14:textId="77777777" w:rsidR="000D1FC8" w:rsidRDefault="007E4FB8">
      <w:pPr>
        <w:pStyle w:val="Textoindependiente"/>
      </w:pPr>
      <w:r>
        <w:t>Regulators should encourage risk analysis with adequate preprocessed data when merging pre- and post- pandemic data to offset the misconception that data are comparable, that shocks can be ignored and/or they</w:t>
      </w:r>
      <w:r>
        <w:t xml:space="preserve"> affect all individuals homogeneously. Achieving a step by step analysis like the one advocated here can lead to identify the impact of the pandemic shock and even to clarify if effects vanish or persist over time.</w:t>
      </w:r>
    </w:p>
    <w:p w14:paraId="7CC2868F" w14:textId="77777777" w:rsidR="000D1FC8" w:rsidRDefault="007E4FB8">
      <w:pPr>
        <w:pStyle w:val="Ttulo1"/>
      </w:pPr>
      <w:bookmarkStart w:id="11" w:name="acknowledgment"/>
      <w:bookmarkEnd w:id="10"/>
      <w:r>
        <w:t>Acknowledgment</w:t>
      </w:r>
    </w:p>
    <w:p w14:paraId="7CC28690" w14:textId="77777777" w:rsidR="000D1FC8" w:rsidRDefault="007E4FB8">
      <w:pPr>
        <w:pStyle w:val="FirstParagraph"/>
      </w:pPr>
      <w:r>
        <w:t>This research was funded by Fundación MAPFRE (Becas Ignacio H. de Larramendi 2021). A.F-F. acknowledges Agencia Estatal de Investigación for the financial support IJC2020-045188I/AEI/10.13039/501100011033 and María Zambrano scholarship. M.G. and D.M. thank</w:t>
      </w:r>
      <w:r>
        <w:t xml:space="preserve"> Spanish Ministry of Science and Innovation, FEDER grant PID2019-105986GB-C21 and NextGenerationEU, grant number TED2021-130187B-I00. MG gratefully thanks the ICREA Academia Program.</w:t>
      </w:r>
    </w:p>
    <w:p w14:paraId="6E75BCB9" w14:textId="08961297" w:rsidR="00E865CB" w:rsidRDefault="00E865CB" w:rsidP="00E865CB">
      <w:pPr>
        <w:pStyle w:val="Ttulo1"/>
      </w:pPr>
      <w:bookmarkStart w:id="12" w:name="ref-biancalana2022quantitative"/>
      <w:bookmarkStart w:id="13" w:name="refs"/>
      <w:r>
        <w:t>References</w:t>
      </w:r>
    </w:p>
    <w:p w14:paraId="7CC28691" w14:textId="77777777" w:rsidR="000D1FC8" w:rsidRDefault="007E4FB8">
      <w:pPr>
        <w:pStyle w:val="Bibliografa"/>
      </w:pPr>
      <w:proofErr w:type="spellStart"/>
      <w:r>
        <w:t>Biancalana</w:t>
      </w:r>
      <w:proofErr w:type="spellEnd"/>
      <w:r>
        <w:t xml:space="preserve">, Davide, and Fabio </w:t>
      </w:r>
      <w:proofErr w:type="spellStart"/>
      <w:r>
        <w:t>Baione</w:t>
      </w:r>
      <w:proofErr w:type="spellEnd"/>
      <w:r>
        <w:t>. 2022. “A Quantitative Analysis on t</w:t>
      </w:r>
      <w:r>
        <w:t xml:space="preserve">he Effect of COVID-19 in a Private Health Insurance Plan Expenditure.” </w:t>
      </w:r>
      <w:r>
        <w:rPr>
          <w:i/>
          <w:iCs/>
        </w:rPr>
        <w:t>Quality &amp; Quantity</w:t>
      </w:r>
      <w:r>
        <w:t>, 1–15.</w:t>
      </w:r>
    </w:p>
    <w:p w14:paraId="7CC28692" w14:textId="77777777" w:rsidR="000D1FC8" w:rsidRDefault="007E4FB8">
      <w:pPr>
        <w:pStyle w:val="Bibliografa"/>
      </w:pPr>
      <w:bookmarkStart w:id="14" w:name="ref-brodersen_inferring_2015"/>
      <w:bookmarkEnd w:id="12"/>
      <w:r>
        <w:t>Brodersen, Kay H., Fabian Gallusser, Jim Koehler, Nicolas Remy, and Steven L. Scott. 2015. “Inferring Causal Impact Using Bayesian Structural Time-Series Model</w:t>
      </w:r>
      <w:r>
        <w:t xml:space="preserve">s.” </w:t>
      </w:r>
      <w:r>
        <w:rPr>
          <w:i/>
          <w:iCs/>
        </w:rPr>
        <w:t>The Annals of Applied Statistics</w:t>
      </w:r>
      <w:r>
        <w:t xml:space="preserve"> 9 (1). </w:t>
      </w:r>
      <w:hyperlink r:id="rId11">
        <w:r>
          <w:rPr>
            <w:rStyle w:val="Hipervnculo"/>
          </w:rPr>
          <w:t>https://doi.org/10.1214/14-AOAS788</w:t>
        </w:r>
      </w:hyperlink>
      <w:r>
        <w:t>.</w:t>
      </w:r>
    </w:p>
    <w:p w14:paraId="7CC28693" w14:textId="77777777" w:rsidR="000D1FC8" w:rsidRDefault="007E4FB8">
      <w:pPr>
        <w:pStyle w:val="Bibliografa"/>
      </w:pPr>
      <w:bookmarkStart w:id="15" w:name="ref-cantor2022impact"/>
      <w:bookmarkEnd w:id="14"/>
      <w:r>
        <w:t xml:space="preserve">Cantor, Jonathan, Neeraj Sood, Dena M Bravata, Megan Pera, and Christopher Whaley. 2022. “The Impact of the COVID-19 Pandemic and Policy Response on Health Care Utilization: Evidence from County-Level Medical Claims and Cellphone Data.” </w:t>
      </w:r>
      <w:r>
        <w:rPr>
          <w:i/>
          <w:iCs/>
        </w:rPr>
        <w:t>Journal of Health E</w:t>
      </w:r>
      <w:r>
        <w:rPr>
          <w:i/>
          <w:iCs/>
        </w:rPr>
        <w:t>conomics</w:t>
      </w:r>
      <w:r>
        <w:t xml:space="preserve"> 82: 102581.</w:t>
      </w:r>
    </w:p>
    <w:p w14:paraId="7CC28694" w14:textId="77777777" w:rsidR="000D1FC8" w:rsidRDefault="007E4FB8">
      <w:pPr>
        <w:pStyle w:val="Bibliografa"/>
      </w:pPr>
      <w:bookmarkStart w:id="16" w:name="ref-di2022impact"/>
      <w:bookmarkEnd w:id="15"/>
      <w:r>
        <w:t xml:space="preserve">Di Martino, Giuseppe, Fabrizio Cedrone, Pamela Di Giovanni, Ferdinando Romano, and Tommaso Staniscia. 2022. “Impact of COVID-19 Pandemic on Oncological Surgery Activities: A Retrospective Study from a Southern Italian Region.” In </w:t>
      </w:r>
      <w:r>
        <w:rPr>
          <w:i/>
          <w:iCs/>
        </w:rPr>
        <w:t>Healt</w:t>
      </w:r>
      <w:r>
        <w:rPr>
          <w:i/>
          <w:iCs/>
        </w:rPr>
        <w:t>hcare</w:t>
      </w:r>
      <w:r>
        <w:t>, 10:2329. 11. Multidisciplinary Digital Publishing Institute.</w:t>
      </w:r>
    </w:p>
    <w:p w14:paraId="7CC28695" w14:textId="77777777" w:rsidR="000D1FC8" w:rsidRDefault="007E4FB8">
      <w:pPr>
        <w:pStyle w:val="Bibliografa"/>
      </w:pPr>
      <w:bookmarkStart w:id="17" w:name="ref-hartwig2020insurance"/>
      <w:bookmarkEnd w:id="16"/>
      <w:r>
        <w:lastRenderedPageBreak/>
        <w:t xml:space="preserve">Hartwig, Robert, Greg Niehaus, and Joseph Qiu. 2020. “Insurance for Economic Losses Caused by Pandemics.” </w:t>
      </w:r>
      <w:r>
        <w:rPr>
          <w:i/>
          <w:iCs/>
        </w:rPr>
        <w:t>The Geneva Risk and Insurance Review</w:t>
      </w:r>
      <w:r>
        <w:t xml:space="preserve"> 45: 134–70.</w:t>
      </w:r>
    </w:p>
    <w:p w14:paraId="7CC28696" w14:textId="77777777" w:rsidR="000D1FC8" w:rsidRDefault="007E4FB8">
      <w:pPr>
        <w:pStyle w:val="Bibliografa"/>
      </w:pPr>
      <w:bookmarkStart w:id="18" w:name="ref-kim2022impactb"/>
      <w:bookmarkEnd w:id="17"/>
      <w:r>
        <w:t xml:space="preserve">Kim, Seong Hoon, Euna Min, Young </w:t>
      </w:r>
      <w:r>
        <w:t xml:space="preserve">Mi Hwang, Yun Suk Choi, and Jin Wook Yi. 2022. “Impact of COVID-19 Pandemic on Thyroid Surgery in a University Hospital in South Korea.” </w:t>
      </w:r>
      <w:r>
        <w:rPr>
          <w:i/>
          <w:iCs/>
        </w:rPr>
        <w:t>Cancers</w:t>
      </w:r>
      <w:r>
        <w:t xml:space="preserve"> 14 (17): 4338.</w:t>
      </w:r>
    </w:p>
    <w:p w14:paraId="7CC28697" w14:textId="77777777" w:rsidR="000D1FC8" w:rsidRDefault="007E4FB8">
      <w:pPr>
        <w:pStyle w:val="Bibliografa"/>
      </w:pPr>
      <w:bookmarkStart w:id="19" w:name="ref-kim2022impact"/>
      <w:bookmarkEnd w:id="18"/>
      <w:r>
        <w:t>Kim, Yeunkyung, Aliza Gordon, Kathryn Rowerdink, Laura Herrera Scott, and Winnie Chi. 2022. “The</w:t>
      </w:r>
      <w:r>
        <w:t xml:space="preserve"> Impact of the COVID-19 Pandemic on Health Care Utilization Among Insured Individuals with Common Chronic Conditions.” </w:t>
      </w:r>
      <w:r>
        <w:rPr>
          <w:i/>
          <w:iCs/>
        </w:rPr>
        <w:t>Medical Care</w:t>
      </w:r>
      <w:r>
        <w:t xml:space="preserve"> 60 (9): 673.</w:t>
      </w:r>
    </w:p>
    <w:p w14:paraId="7CC28698" w14:textId="77777777" w:rsidR="000D1FC8" w:rsidRDefault="007E4FB8">
      <w:pPr>
        <w:pStyle w:val="Bibliografa"/>
      </w:pPr>
      <w:bookmarkStart w:id="20" w:name="ref-kotrych2022delay"/>
      <w:bookmarkEnd w:id="19"/>
      <w:r>
        <w:t>Kotrych, Daniel, Dawid Ciechanowicz, Jakub Pawlik, Martyna Szyjkowska, Bartłomiej Kwapisz, and Maciej Madry. 20</w:t>
      </w:r>
      <w:r>
        <w:t xml:space="preserve">22. “Delay in Diagnosis and Treatment of Primary Bone Tumors During COVID-19 Pandemic in Poland.” </w:t>
      </w:r>
      <w:r>
        <w:rPr>
          <w:i/>
          <w:iCs/>
        </w:rPr>
        <w:t>Cancers</w:t>
      </w:r>
      <w:r>
        <w:t xml:space="preserve"> 14 (24): 6037.</w:t>
      </w:r>
    </w:p>
    <w:p w14:paraId="7CC28699" w14:textId="77777777" w:rsidR="000D1FC8" w:rsidRDefault="007E4FB8">
      <w:pPr>
        <w:pStyle w:val="Bibliografa"/>
      </w:pPr>
      <w:bookmarkStart w:id="21" w:name="ref-lubitz_use_1984"/>
      <w:bookmarkEnd w:id="20"/>
      <w:r>
        <w:t>Lubitz, J., and R. Prihoda. 1984. “</w:t>
      </w:r>
      <w:hyperlink r:id="rId12">
        <w:r>
          <w:rPr>
            <w:rStyle w:val="Hipervnculo"/>
          </w:rPr>
          <w:t xml:space="preserve">The Use and Costs of Medicare </w:t>
        </w:r>
        <w:r>
          <w:rPr>
            <w:rStyle w:val="Hipervnculo"/>
          </w:rPr>
          <w:t>Services in the Last 2 Years of Life</w:t>
        </w:r>
      </w:hyperlink>
      <w:r>
        <w:t xml:space="preserve">.” </w:t>
      </w:r>
      <w:r>
        <w:rPr>
          <w:i/>
          <w:iCs/>
        </w:rPr>
        <w:t>Health Care Financing Review</w:t>
      </w:r>
      <w:r>
        <w:t xml:space="preserve"> 5 (3): 117–31.</w:t>
      </w:r>
    </w:p>
    <w:p w14:paraId="7CC2869A" w14:textId="77777777" w:rsidR="000D1FC8" w:rsidRDefault="007E4FB8">
      <w:pPr>
        <w:pStyle w:val="Bibliografa"/>
      </w:pPr>
      <w:bookmarkStart w:id="22" w:name="ref-michalowsky2021effect"/>
      <w:bookmarkEnd w:id="21"/>
      <w:r>
        <w:t>Michalowsky, Bernhard, Wolfgang Hoffmann, Jens Bohlken, and Karel Kostev. 2021. “Effect of the COVID-19 Lockdown on Disease Recognition an</w:t>
      </w:r>
      <w:r>
        <w:t xml:space="preserve">d Utilisation of Healthcare Services in the Older Population in Germany: A Cross-Sectional Study.” </w:t>
      </w:r>
      <w:r>
        <w:rPr>
          <w:i/>
          <w:iCs/>
        </w:rPr>
        <w:t>Age and Ageing</w:t>
      </w:r>
      <w:r>
        <w:t xml:space="preserve"> 50 (2): 317–25.</w:t>
      </w:r>
    </w:p>
    <w:p w14:paraId="7CC2869B" w14:textId="77777777" w:rsidR="000D1FC8" w:rsidRDefault="007E4FB8">
      <w:pPr>
        <w:pStyle w:val="Bibliografa"/>
      </w:pPr>
      <w:bookmarkStart w:id="23" w:name="ref-mizee2022delay"/>
      <w:bookmarkEnd w:id="22"/>
      <w:r>
        <w:t>Mizee, Marlou, Laura A Schaap, Emiel O Hoogendijk, and Natasja M van Schoor. 2022. “Delay or Postponement of Medical Care Amon</w:t>
      </w:r>
      <w:r>
        <w:t xml:space="preserve">g Older Adults in the Netherlands at Earlier and Later Stages of the COVID-19 Pandemic.” </w:t>
      </w:r>
      <w:r>
        <w:rPr>
          <w:i/>
          <w:iCs/>
        </w:rPr>
        <w:t>Aging Clinical and Experimental Research</w:t>
      </w:r>
      <w:r>
        <w:t xml:space="preserve"> 34 (11): 2913–17.</w:t>
      </w:r>
    </w:p>
    <w:p w14:paraId="7CC2869C" w14:textId="77777777" w:rsidR="000D1FC8" w:rsidRDefault="007E4FB8">
      <w:pPr>
        <w:pStyle w:val="Bibliografa"/>
      </w:pPr>
      <w:bookmarkStart w:id="24" w:name="ref-mogharab2022global"/>
      <w:bookmarkEnd w:id="23"/>
      <w:r>
        <w:t>Mogharab, Vahid, Mahshid Ostovar, Jakub Ruszkowski, Syed Zohaib Maroof Hussain, Rajeev Shrestha, Uzair Yaqoo</w:t>
      </w:r>
      <w:r>
        <w:t xml:space="preserve">b, Poorya Aryanpoor, et al. 2022. “Global Burden of the COVID-19 Associated Patient-Related Delay in Emergency Healthcare: A Panel of Systematic Review and Meta-Analyses.” </w:t>
      </w:r>
      <w:r>
        <w:rPr>
          <w:i/>
          <w:iCs/>
        </w:rPr>
        <w:t>Globalization and Health</w:t>
      </w:r>
      <w:r>
        <w:t xml:space="preserve"> 18 (1): 58.</w:t>
      </w:r>
    </w:p>
    <w:p w14:paraId="7CC2869D" w14:textId="77777777" w:rsidR="000D1FC8" w:rsidRDefault="007E4FB8">
      <w:pPr>
        <w:pStyle w:val="Bibliografa"/>
      </w:pPr>
      <w:bookmarkStart w:id="25" w:name="ref-plott2020unexpected"/>
      <w:bookmarkEnd w:id="24"/>
      <w:r>
        <w:t>Plott, Caroline F, Allen B Kachalia, and Joshua</w:t>
      </w:r>
      <w:r>
        <w:t xml:space="preserve"> M Sharfstein. 2020. “Unexpected Health Insurance Profits and the COVID-19 Crisis.” </w:t>
      </w:r>
      <w:r>
        <w:rPr>
          <w:i/>
          <w:iCs/>
        </w:rPr>
        <w:t>JAMA</w:t>
      </w:r>
      <w:r>
        <w:t xml:space="preserve"> 324 (17): 1713–14.</w:t>
      </w:r>
    </w:p>
    <w:p w14:paraId="7CC2869E" w14:textId="77777777" w:rsidR="000D1FC8" w:rsidRDefault="007E4FB8">
      <w:pPr>
        <w:pStyle w:val="Bibliografa"/>
      </w:pPr>
      <w:bookmarkStart w:id="26" w:name="ref-poisal2022national"/>
      <w:bookmarkEnd w:id="25"/>
      <w:r>
        <w:t>Poisal, John A, Andrea M Sisko, Gigi A Cuckler, Sheila D Smith, Sean P Keehan, Jacqueline A Fiore, Andrew J Madison, and Kathryn E Rennie. 2022. “Na</w:t>
      </w:r>
      <w:r>
        <w:t xml:space="preserve">tional Health Expenditure Projections, 2021–30: Growth to Moderate as COVID-19 Impacts Wane: Study Examines National Health Expenditure Projections, 2021-30 and the Impact of Declining Federal Supplemental Spending Related to the COVID-19 Pandemic.” </w:t>
      </w:r>
      <w:r>
        <w:rPr>
          <w:i/>
          <w:iCs/>
        </w:rPr>
        <w:t>Health</w:t>
      </w:r>
      <w:r>
        <w:rPr>
          <w:i/>
          <w:iCs/>
        </w:rPr>
        <w:t xml:space="preserve"> Affairs</w:t>
      </w:r>
      <w:r>
        <w:t xml:space="preserve"> 41 (4): 474–86.</w:t>
      </w:r>
    </w:p>
    <w:p w14:paraId="7CC2869F" w14:textId="77777777" w:rsidR="000D1FC8" w:rsidRDefault="007E4FB8">
      <w:pPr>
        <w:pStyle w:val="Bibliografa"/>
      </w:pPr>
      <w:bookmarkStart w:id="27" w:name="ref-przybytniowski2022risk"/>
      <w:bookmarkEnd w:id="26"/>
      <w:r>
        <w:t xml:space="preserve">Przybytniowski, Jarosław Wenancjusz, Stanisław Borkowski, Andrzej Pawlik, and Petro Garasyim. 2022. “The Risk of the COVID-19 Pandemic and Its Influence on the Business Insurance Market in the Medium-and Long-Term Horizon.” </w:t>
      </w:r>
      <w:r>
        <w:rPr>
          <w:i/>
          <w:iCs/>
        </w:rPr>
        <w:t>Risks</w:t>
      </w:r>
      <w:r>
        <w:t xml:space="preserve"> 1</w:t>
      </w:r>
      <w:r>
        <w:t>0 (5): 100.</w:t>
      </w:r>
    </w:p>
    <w:p w14:paraId="7CC286A0" w14:textId="77777777" w:rsidR="000D1FC8" w:rsidRDefault="007E4FB8">
      <w:pPr>
        <w:pStyle w:val="Bibliografa"/>
      </w:pPr>
      <w:bookmarkStart w:id="28" w:name="ref-r_core_team_r_2019"/>
      <w:bookmarkEnd w:id="27"/>
      <w:r>
        <w:t xml:space="preserve">R Core Team. 2019. “R: A Language and Environment for Statistical Computing.” R Foundation for Statistical Computing. </w:t>
      </w:r>
      <w:hyperlink r:id="rId13">
        <w:r>
          <w:rPr>
            <w:rStyle w:val="Hipervnculo"/>
          </w:rPr>
          <w:t>https://www.r-project.org/</w:t>
        </w:r>
      </w:hyperlink>
      <w:r>
        <w:t>.</w:t>
      </w:r>
    </w:p>
    <w:p w14:paraId="7CC286A1" w14:textId="77777777" w:rsidR="000D1FC8" w:rsidRDefault="007E4FB8">
      <w:pPr>
        <w:pStyle w:val="Bibliografa"/>
      </w:pPr>
      <w:bookmarkStart w:id="29" w:name="ref-ricciardiello2021impact"/>
      <w:bookmarkEnd w:id="28"/>
      <w:r>
        <w:lastRenderedPageBreak/>
        <w:t>Ricciardiello, Luig</w:t>
      </w:r>
      <w:r>
        <w:t>i, Clarissa Ferrari, Michela Cameletti, Federica Gaianill, Francesco Buttitta, Franco Bazzoli, Gian Luigi De’Angelis, Alberto Malesci, and Luigi Laghi. 2021. “Impact of SARS-CoV-2 Pandemic on Colorectal Cancer Screening Delay: Effect on Stage Shift and Inc</w:t>
      </w:r>
      <w:r>
        <w:t xml:space="preserve">reased Mortality.” </w:t>
      </w:r>
      <w:r>
        <w:rPr>
          <w:i/>
          <w:iCs/>
        </w:rPr>
        <w:t>Clinical Gastroenterology and Hepatology</w:t>
      </w:r>
      <w:r>
        <w:t xml:space="preserve"> 19 (7): 1410–17.</w:t>
      </w:r>
    </w:p>
    <w:p w14:paraId="7CC286A2" w14:textId="77777777" w:rsidR="000D1FC8" w:rsidRDefault="007E4FB8">
      <w:pPr>
        <w:pStyle w:val="Bibliografa"/>
      </w:pPr>
      <w:bookmarkStart w:id="30" w:name="ref-richter2020covid"/>
      <w:bookmarkEnd w:id="29"/>
      <w:r>
        <w:t xml:space="preserve">Richter, Andreas, and Thomas C Wilson. 2020. “Covid-19: Implications for Insurer Risk Management and the Insurability of Pandemic Risk.” </w:t>
      </w:r>
      <w:r>
        <w:rPr>
          <w:i/>
          <w:iCs/>
        </w:rPr>
        <w:t>The Geneva Risk and Insurance Review</w:t>
      </w:r>
      <w:r>
        <w:t xml:space="preserve"> 45: 1</w:t>
      </w:r>
      <w:r>
        <w:t>71–99.</w:t>
      </w:r>
    </w:p>
    <w:p w14:paraId="7CC286A3" w14:textId="77777777" w:rsidR="000D1FC8" w:rsidRDefault="007E4FB8">
      <w:pPr>
        <w:pStyle w:val="Bibliografa"/>
      </w:pPr>
      <w:bookmarkStart w:id="31" w:name="ref-scitovsky_high_2005"/>
      <w:bookmarkEnd w:id="30"/>
      <w:r>
        <w:t xml:space="preserve">Scitovsky, Anne A. 2005. “‘The High Cost of Dying’: What Do the Data Show?” </w:t>
      </w:r>
      <w:r>
        <w:rPr>
          <w:i/>
          <w:iCs/>
        </w:rPr>
        <w:t>The Milbank Quarterly</w:t>
      </w:r>
      <w:r>
        <w:t xml:space="preserve"> 83 (4): 825. </w:t>
      </w:r>
      <w:hyperlink r:id="rId14">
        <w:r>
          <w:rPr>
            <w:rStyle w:val="Hipervnculo"/>
          </w:rPr>
          <w:t>https://doi.org/10.1111/j.1468-0009.2005.00402.x</w:t>
        </w:r>
      </w:hyperlink>
      <w:r>
        <w:t>.</w:t>
      </w:r>
    </w:p>
    <w:p w14:paraId="7CC286A4" w14:textId="77777777" w:rsidR="000D1FC8" w:rsidRDefault="007E4FB8">
      <w:pPr>
        <w:pStyle w:val="Bibliografa"/>
      </w:pPr>
      <w:bookmarkStart w:id="32" w:name="ref-scott_predicting_nodate"/>
      <w:bookmarkEnd w:id="31"/>
      <w:r>
        <w:t xml:space="preserve">Scott, Steven L, and Hal R Varian. 2014. “Predicting the Present with Bayesian Structural Time Series.” </w:t>
      </w:r>
      <w:r>
        <w:rPr>
          <w:i/>
          <w:iCs/>
        </w:rPr>
        <w:t>International Journal of Mathematical Modelling and Numerical Optimisation</w:t>
      </w:r>
      <w:r>
        <w:t xml:space="preserve"> 5 (1).</w:t>
      </w:r>
    </w:p>
    <w:p w14:paraId="7CC286A5" w14:textId="77777777" w:rsidR="000D1FC8" w:rsidRDefault="007E4FB8">
      <w:pPr>
        <w:pStyle w:val="Bibliografa"/>
      </w:pPr>
      <w:bookmarkStart w:id="33" w:name="ref-shumway_arima_2017"/>
      <w:bookmarkEnd w:id="32"/>
      <w:r>
        <w:t xml:space="preserve">Shumway, Robert H., and David S. Stoffer. 2017. “ARIMA Models.” In </w:t>
      </w:r>
      <w:r>
        <w:rPr>
          <w:i/>
          <w:iCs/>
        </w:rPr>
        <w:t>Time Series Analysis and Its Applications: With r Examples</w:t>
      </w:r>
      <w:r>
        <w:t>, edited by Robert H. Shumway and David S. Stoffe</w:t>
      </w:r>
      <w:r>
        <w:t xml:space="preserve">r, 75–163. Springer Texts in Statistics. Cham: Springer International Publishing. </w:t>
      </w:r>
      <w:hyperlink r:id="rId15">
        <w:r>
          <w:rPr>
            <w:rStyle w:val="Hipervnculo"/>
          </w:rPr>
          <w:t>https://doi.org/10.1007/978-3-319-52452-8_3</w:t>
        </w:r>
      </w:hyperlink>
      <w:r>
        <w:t>.</w:t>
      </w:r>
    </w:p>
    <w:p w14:paraId="7CC286A6" w14:textId="77777777" w:rsidR="000D1FC8" w:rsidRDefault="007E4FB8">
      <w:pPr>
        <w:pStyle w:val="Bibliografa"/>
      </w:pPr>
      <w:bookmarkStart w:id="34" w:name="ref-szczygielski2022impact"/>
      <w:bookmarkEnd w:id="33"/>
      <w:r>
        <w:t>Szczygielski, Jan Jakub, Ailie Ch</w:t>
      </w:r>
      <w:r>
        <w:t xml:space="preserve">arteris, Princess Rutendo Bwanya, and Janusz Brzeszczyński. 2022. “The Impact and Role of COVID-19 Uncertainty: A Global Industry Analysis.” </w:t>
      </w:r>
      <w:r>
        <w:rPr>
          <w:i/>
          <w:iCs/>
        </w:rPr>
        <w:t>International Review of Financial Analysis</w:t>
      </w:r>
      <w:r>
        <w:t xml:space="preserve"> 80: 101837.</w:t>
      </w:r>
    </w:p>
    <w:p w14:paraId="7CC286A7" w14:textId="77777777" w:rsidR="000D1FC8" w:rsidRDefault="007E4FB8">
      <w:pPr>
        <w:pStyle w:val="Bibliografa"/>
      </w:pPr>
      <w:bookmarkStart w:id="35" w:name="ref-wilensky2022covid"/>
      <w:bookmarkEnd w:id="34"/>
      <w:r>
        <w:t>Wilensky, Gail R. 2022. “The COVID-19 Pandemic and the US He</w:t>
      </w:r>
      <w:r>
        <w:t xml:space="preserve">alth Care Workforce.” In </w:t>
      </w:r>
      <w:r>
        <w:rPr>
          <w:i/>
          <w:iCs/>
        </w:rPr>
        <w:t>JAMA Health Forum</w:t>
      </w:r>
      <w:r>
        <w:t>, 3:e220001–1. 1. American Medical Association.</w:t>
      </w:r>
    </w:p>
    <w:p w14:paraId="7CC286A8" w14:textId="77777777" w:rsidR="000D1FC8" w:rsidRDefault="007E4FB8">
      <w:pPr>
        <w:pStyle w:val="Bibliografa"/>
      </w:pPr>
      <w:bookmarkStart w:id="36" w:name="ref-wuthrich2023statistical"/>
      <w:bookmarkEnd w:id="35"/>
      <w:r>
        <w:t xml:space="preserve">Wüthrich, Mario V, and Michael Merz. 2023. </w:t>
      </w:r>
      <w:r>
        <w:rPr>
          <w:i/>
          <w:iCs/>
        </w:rPr>
        <w:t>Statistical Foundations of Actuarial Learning and Its Applications</w:t>
      </w:r>
      <w:r>
        <w:t>. Springer Nature.</w:t>
      </w:r>
    </w:p>
    <w:p w14:paraId="7CC286A9" w14:textId="77777777" w:rsidR="000D1FC8" w:rsidRDefault="007E4FB8">
      <w:pPr>
        <w:pStyle w:val="Bibliografa"/>
      </w:pPr>
      <w:bookmarkStart w:id="37" w:name="ref-xu2021impact"/>
      <w:bookmarkEnd w:id="36"/>
      <w:r>
        <w:t>Xu, Stanley, Sungching Glenn, Lina Sy,</w:t>
      </w:r>
      <w:r>
        <w:t xml:space="preserve"> Lei Qian, Vennis Hong, Denison S Ryan, and Steven Jacobsen. 2021. “Impact of the COVID-19 Pandemic on Health Care Utilization in a Large Integrated Health Care System: Retrospective Cohort Study.” </w:t>
      </w:r>
      <w:r>
        <w:rPr>
          <w:i/>
          <w:iCs/>
        </w:rPr>
        <w:t>Journal of Medical Internet Research</w:t>
      </w:r>
      <w:r>
        <w:t xml:space="preserve"> 23 (4): e26558.</w:t>
      </w:r>
    </w:p>
    <w:bookmarkEnd w:id="37"/>
    <w:bookmarkEnd w:id="13"/>
    <w:bookmarkEnd w:id="11"/>
    <w:sectPr w:rsidR="000D1FC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86B4" w14:textId="77777777" w:rsidR="00000000" w:rsidRDefault="007E4FB8">
      <w:pPr>
        <w:spacing w:after="0"/>
      </w:pPr>
      <w:r>
        <w:separator/>
      </w:r>
    </w:p>
  </w:endnote>
  <w:endnote w:type="continuationSeparator" w:id="0">
    <w:p w14:paraId="7CC286B6" w14:textId="77777777" w:rsidR="00000000" w:rsidRDefault="007E4F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86B0" w14:textId="77777777" w:rsidR="000D1FC8" w:rsidRDefault="007E4FB8">
      <w:r>
        <w:separator/>
      </w:r>
    </w:p>
  </w:footnote>
  <w:footnote w:type="continuationSeparator" w:id="0">
    <w:p w14:paraId="7CC286B1" w14:textId="77777777" w:rsidR="000D1FC8" w:rsidRDefault="007E4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00D9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6169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FC8"/>
    <w:rsid w:val="000D1FC8"/>
    <w:rsid w:val="007E4FB8"/>
    <w:rsid w:val="00E865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854F"/>
  <w15:docId w15:val="{00B8DC1F-211A-4BE7-AC2B-FA2D6D37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cabezado">
    <w:name w:val="header"/>
    <w:basedOn w:val="Normal"/>
    <w:link w:val="EncabezadoCar"/>
    <w:semiHidden/>
    <w:unhideWhenUsed/>
    <w:rsid w:val="007E4FB8"/>
    <w:pPr>
      <w:tabs>
        <w:tab w:val="center" w:pos="4252"/>
        <w:tab w:val="right" w:pos="8504"/>
      </w:tabs>
      <w:spacing w:after="0"/>
    </w:pPr>
  </w:style>
  <w:style w:type="character" w:customStyle="1" w:styleId="EncabezadoCar">
    <w:name w:val="Encabezado Car"/>
    <w:basedOn w:val="Fuentedeprrafopredeter"/>
    <w:link w:val="Encabezado"/>
    <w:semiHidden/>
    <w:rsid w:val="007E4FB8"/>
  </w:style>
  <w:style w:type="paragraph" w:styleId="Piedepgina">
    <w:name w:val="footer"/>
    <w:basedOn w:val="Normal"/>
    <w:link w:val="PiedepginaCar"/>
    <w:semiHidden/>
    <w:unhideWhenUsed/>
    <w:rsid w:val="007E4FB8"/>
    <w:pPr>
      <w:tabs>
        <w:tab w:val="center" w:pos="4252"/>
        <w:tab w:val="right" w:pos="8504"/>
      </w:tabs>
      <w:spacing w:after="0"/>
    </w:pPr>
  </w:style>
  <w:style w:type="character" w:customStyle="1" w:styleId="PiedepginaCar">
    <w:name w:val="Pie de página Car"/>
    <w:basedOn w:val="Fuentedeprrafopredeter"/>
    <w:link w:val="Piedepgina"/>
    <w:semiHidden/>
    <w:rsid w:val="007E4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orinya/XxxxBSTS" TargetMode="External"/><Relationship Id="rId13"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cbi.nlm.nih.gov/pmc/articles/PMC419136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214/14-AOAS788" TargetMode="External"/><Relationship Id="rId5" Type="http://schemas.openxmlformats.org/officeDocument/2006/relationships/footnotes" Target="footnotes.xml"/><Relationship Id="rId15" Type="http://schemas.openxmlformats.org/officeDocument/2006/relationships/hyperlink" Target="https://doi.org/10.1007/978-3-319-52452-8_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11/j.1468-0009.2005.0040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6195</Words>
  <Characters>35318</Characters>
  <Application>Microsoft Office Word</Application>
  <DocSecurity>0</DocSecurity>
  <Lines>294</Lines>
  <Paragraphs>82</Paragraphs>
  <ScaleCrop>false</ScaleCrop>
  <HeadingPairs>
    <vt:vector size="2" baseType="variant">
      <vt:variant>
        <vt:lpstr>Título</vt:lpstr>
      </vt:variant>
      <vt:variant>
        <vt:i4>1</vt:i4>
      </vt:variant>
    </vt:vector>
  </HeadingPairs>
  <TitlesOfParts>
    <vt:vector size="1" baseType="lpstr">
      <vt:lpstr>Back to normal? A method to test and correct the impact of a shock on healthcare usage frequency data</vt:lpstr>
    </vt:vector>
  </TitlesOfParts>
  <Company/>
  <LinksUpToDate>false</LinksUpToDate>
  <CharactersWithSpaces>41431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to normal? A method to test and correct the impact of a shock on healthcare usage frequency data</dc:title>
  <dc:creator>David Moriña^{1}, Amanda Fernández-Fontelo^{2}, Montserrat Guillén^{1}</dc:creator>
  <cp:keywords/>
  <cp:lastModifiedBy>David Moriña Soler</cp:lastModifiedBy>
  <cp:revision>2</cp:revision>
  <dcterms:created xsi:type="dcterms:W3CDTF">2023-05-08T13:03:00Z</dcterms:created>
  <dcterms:modified xsi:type="dcterms:W3CDTF">2023-05-08T11:06:00Z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method based on Bayesian structural time series is proposed to predict healthcare usage trends of frequency counts and to test the existence of changes in the series levels during or after an abnormal year, such as 2020. Our method can also be applied to calculate correction factors for count data to eliminate the impact of COVID-19, which can then be integrated in a preprocessing step before any statistical analysis. For a large private health insurer in Spain, adjustments are derived from the estimated average level of healthcare usage, which decreased by 12% in 2020 compared to 2019, and increased in 2021 and 2022, when the average usage was 16% and 22% higher, respectively, than in 2019. In addition, our proposed approach outperformed traditional time series techniques, resulting in more accurate predictions and lower error measures, such as the Root Mean Squared Error and the Mean Absolute Percentage Error. Our conclusion is that healthcare insurance utilization did not fully return to its pre-pandemic levels in 2022, except for some groups and services, which could explain some of the reasons for the recent increase in insurance premiums. Our method can also be implemented in general in other areas of risk analysis that study frequency counts and experience shocks.</vt:lpwstr>
  </property>
  <property fmtid="{D5CDD505-2E9C-101B-9397-08002B2CF9AE}" pid="3" name="bibliography">
    <vt:lpwstr>article.bib</vt:lpwstr>
  </property>
</Properties>
</file>