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55DD6" w14:textId="06CD0744" w:rsidR="00BD71B1" w:rsidRPr="006741AA" w:rsidRDefault="006741AA" w:rsidP="002D3FA7">
      <w:pPr>
        <w:pStyle w:val="SmallText"/>
      </w:pPr>
      <w:r w:rsidRPr="006741AA">
        <w:t>Digital Enablement and Transformation</w:t>
      </w:r>
    </w:p>
    <w:p w14:paraId="5A82EAA4" w14:textId="77777777" w:rsidR="006741AA" w:rsidRPr="006741AA" w:rsidRDefault="006741AA" w:rsidP="002D3FA7">
      <w:pPr>
        <w:pStyle w:val="SmallText"/>
      </w:pPr>
      <w:r w:rsidRPr="006741AA">
        <w:t>Environment Information Strategy and Policy Branch</w:t>
      </w:r>
    </w:p>
    <w:p w14:paraId="79CADB28" w14:textId="77777777" w:rsidR="006741AA" w:rsidRPr="006741AA" w:rsidRDefault="006741AA" w:rsidP="002D3FA7">
      <w:pPr>
        <w:pStyle w:val="Supertitle"/>
      </w:pPr>
      <w:r w:rsidRPr="006741AA">
        <w:t>I</w:t>
      </w:r>
      <w:r w:rsidRPr="006741AA">
        <w:t>ntelligence briefing</w:t>
      </w:r>
      <w:r w:rsidRPr="006741AA">
        <w:t xml:space="preserve">: </w:t>
      </w:r>
    </w:p>
    <w:p w14:paraId="264541D8" w14:textId="55AA1A96" w:rsidR="00BD71B1" w:rsidRDefault="00000000" w:rsidP="002D3FA7">
      <w:pPr>
        <w:pStyle w:val="Title"/>
      </w:pPr>
      <w:r w:rsidRPr="006741AA">
        <w:t>Senate committee hearing</w:t>
      </w:r>
    </w:p>
    <w:tbl>
      <w:tblPr>
        <w:tblStyle w:val="TableGrid"/>
        <w:tblW w:w="0" w:type="auto"/>
        <w:tblBorders>
          <w:top w:val="single" w:sz="2" w:space="0" w:color="auto"/>
          <w:left w:val="none" w:sz="0" w:space="0" w:color="auto"/>
          <w:bottom w:val="single" w:sz="2" w:space="0" w:color="auto"/>
          <w:right w:val="none" w:sz="0" w:space="0" w:color="auto"/>
          <w:insideH w:val="dotted" w:sz="4" w:space="0" w:color="auto"/>
          <w:insideV w:val="none" w:sz="0" w:space="0" w:color="auto"/>
        </w:tblBorders>
        <w:tblLook w:val="04A0" w:firstRow="1" w:lastRow="0" w:firstColumn="1" w:lastColumn="0" w:noHBand="0" w:noVBand="1"/>
      </w:tblPr>
      <w:tblGrid>
        <w:gridCol w:w="1701"/>
        <w:gridCol w:w="7927"/>
      </w:tblGrid>
      <w:tr w:rsidR="00FB448D" w:rsidRPr="006741AA" w14:paraId="2A00088A" w14:textId="77777777" w:rsidTr="002D3FA7">
        <w:tc>
          <w:tcPr>
            <w:tcW w:w="1701" w:type="dxa"/>
          </w:tcPr>
          <w:p w14:paraId="42C4A096" w14:textId="77777777" w:rsidR="00FB448D" w:rsidRPr="006741AA" w:rsidRDefault="00FB448D" w:rsidP="00C654E5">
            <w:pPr>
              <w:pStyle w:val="TableText"/>
              <w:rPr>
                <w:rFonts w:ascii="Aptos SemiBold" w:hAnsi="Aptos SemiBold"/>
              </w:rPr>
            </w:pPr>
            <w:r w:rsidRPr="006741AA">
              <w:rPr>
                <w:rFonts w:ascii="Aptos SemiBold" w:hAnsi="Aptos SemiBold"/>
              </w:rPr>
              <w:t>Committee</w:t>
            </w:r>
          </w:p>
        </w:tc>
        <w:tc>
          <w:tcPr>
            <w:tcW w:w="7927" w:type="dxa"/>
          </w:tcPr>
          <w:p w14:paraId="0C516799" w14:textId="77777777" w:rsidR="00FB448D" w:rsidRPr="006741AA" w:rsidRDefault="00FB448D" w:rsidP="00C654E5">
            <w:pPr>
              <w:pStyle w:val="TableText"/>
            </w:pPr>
            <w:r w:rsidRPr="006741AA">
              <w:t>Senate Environment and Communications Legislation Committee</w:t>
            </w:r>
          </w:p>
        </w:tc>
      </w:tr>
      <w:tr w:rsidR="00FB448D" w:rsidRPr="006741AA" w14:paraId="3AF3765D" w14:textId="77777777" w:rsidTr="002D3FA7">
        <w:tc>
          <w:tcPr>
            <w:tcW w:w="1701" w:type="dxa"/>
          </w:tcPr>
          <w:p w14:paraId="5E545333" w14:textId="77777777" w:rsidR="00FB448D" w:rsidRPr="006741AA" w:rsidRDefault="00FB448D" w:rsidP="00C654E5">
            <w:pPr>
              <w:pStyle w:val="TableText"/>
              <w:rPr>
                <w:rFonts w:ascii="Aptos SemiBold" w:hAnsi="Aptos SemiBold"/>
              </w:rPr>
            </w:pPr>
            <w:r w:rsidRPr="006741AA">
              <w:rPr>
                <w:rFonts w:ascii="Aptos SemiBold" w:hAnsi="Aptos SemiBold"/>
              </w:rPr>
              <w:t>Inquiry name</w:t>
            </w:r>
          </w:p>
        </w:tc>
        <w:tc>
          <w:tcPr>
            <w:tcW w:w="7927" w:type="dxa"/>
          </w:tcPr>
          <w:p w14:paraId="6408A6CA" w14:textId="77777777" w:rsidR="00FB448D" w:rsidRPr="006741AA" w:rsidRDefault="00FB448D" w:rsidP="00C654E5">
            <w:pPr>
              <w:pStyle w:val="TableText"/>
            </w:pPr>
            <w:r w:rsidRPr="006741AA">
              <w:t>Environment Protection Reform Bill 2025 and related bills</w:t>
            </w:r>
          </w:p>
        </w:tc>
      </w:tr>
      <w:tr w:rsidR="00FB448D" w:rsidRPr="006741AA" w14:paraId="6E9C1E73" w14:textId="77777777" w:rsidTr="002D3FA7">
        <w:tc>
          <w:tcPr>
            <w:tcW w:w="1701" w:type="dxa"/>
          </w:tcPr>
          <w:p w14:paraId="2910A59A" w14:textId="77777777" w:rsidR="00FB448D" w:rsidRPr="006741AA" w:rsidRDefault="00FB448D" w:rsidP="00C654E5">
            <w:pPr>
              <w:pStyle w:val="TableText"/>
              <w:rPr>
                <w:rFonts w:ascii="Aptos SemiBold" w:hAnsi="Aptos SemiBold"/>
              </w:rPr>
            </w:pPr>
            <w:r w:rsidRPr="006741AA">
              <w:rPr>
                <w:rFonts w:ascii="Aptos SemiBold" w:hAnsi="Aptos SemiBold"/>
              </w:rPr>
              <w:t>Hearing date</w:t>
            </w:r>
          </w:p>
        </w:tc>
        <w:tc>
          <w:tcPr>
            <w:tcW w:w="7927" w:type="dxa"/>
          </w:tcPr>
          <w:p w14:paraId="7EADDA49" w14:textId="77777777" w:rsidR="00FB448D" w:rsidRPr="006741AA" w:rsidRDefault="00FB448D" w:rsidP="00C654E5">
            <w:pPr>
              <w:pStyle w:val="TableText"/>
            </w:pPr>
            <w:r w:rsidRPr="006741AA">
              <w:t>Friday, 14 November 2025</w:t>
            </w:r>
          </w:p>
        </w:tc>
      </w:tr>
      <w:tr w:rsidR="00FB448D" w:rsidRPr="006741AA" w14:paraId="65674961" w14:textId="77777777" w:rsidTr="002D3FA7">
        <w:tc>
          <w:tcPr>
            <w:tcW w:w="1701" w:type="dxa"/>
          </w:tcPr>
          <w:p w14:paraId="76490C66" w14:textId="77777777" w:rsidR="00FB448D" w:rsidRPr="006741AA" w:rsidRDefault="00FB448D" w:rsidP="00C654E5">
            <w:pPr>
              <w:pStyle w:val="TableText"/>
              <w:rPr>
                <w:rFonts w:ascii="Aptos SemiBold" w:hAnsi="Aptos SemiBold"/>
              </w:rPr>
            </w:pPr>
            <w:r w:rsidRPr="006741AA">
              <w:rPr>
                <w:rFonts w:ascii="Aptos SemiBold" w:hAnsi="Aptos SemiBold"/>
              </w:rPr>
              <w:t>Bills/Legislation</w:t>
            </w:r>
          </w:p>
        </w:tc>
        <w:tc>
          <w:tcPr>
            <w:tcW w:w="7927" w:type="dxa"/>
          </w:tcPr>
          <w:p w14:paraId="6B6D912D" w14:textId="77777777" w:rsidR="00FB448D" w:rsidRPr="006741AA" w:rsidRDefault="00FB448D" w:rsidP="00C654E5">
            <w:pPr>
              <w:pStyle w:val="TableText"/>
            </w:pPr>
            <w:r w:rsidRPr="006741AA">
              <w:t>Environment Protection Reform Bill 2025 [and related bills as applicable]</w:t>
            </w:r>
          </w:p>
        </w:tc>
      </w:tr>
      <w:tr w:rsidR="00FB448D" w:rsidRPr="006741AA" w14:paraId="6CC70AC8" w14:textId="77777777" w:rsidTr="002D3FA7">
        <w:tc>
          <w:tcPr>
            <w:tcW w:w="1701" w:type="dxa"/>
          </w:tcPr>
          <w:p w14:paraId="46770CF1" w14:textId="77777777" w:rsidR="00FB448D" w:rsidRPr="006741AA" w:rsidRDefault="00FB448D" w:rsidP="00C654E5">
            <w:pPr>
              <w:pStyle w:val="TableText"/>
              <w:rPr>
                <w:rFonts w:ascii="Aptos SemiBold" w:hAnsi="Aptos SemiBold"/>
              </w:rPr>
            </w:pPr>
            <w:r w:rsidRPr="006741AA">
              <w:rPr>
                <w:rFonts w:ascii="Aptos SemiBold" w:hAnsi="Aptos SemiBold"/>
              </w:rPr>
              <w:t>Transcript source</w:t>
            </w:r>
          </w:p>
        </w:tc>
        <w:tc>
          <w:tcPr>
            <w:tcW w:w="7927" w:type="dxa"/>
          </w:tcPr>
          <w:p w14:paraId="6038594F" w14:textId="77777777" w:rsidR="00FB448D" w:rsidRPr="006741AA" w:rsidRDefault="00FB448D" w:rsidP="00C654E5">
            <w:pPr>
              <w:pStyle w:val="TableText"/>
            </w:pPr>
            <w:r w:rsidRPr="006741AA">
              <w:t>Hansard</w:t>
            </w:r>
          </w:p>
        </w:tc>
      </w:tr>
      <w:tr w:rsidR="00FB448D" w:rsidRPr="006741AA" w14:paraId="6200157D" w14:textId="77777777" w:rsidTr="002D3FA7">
        <w:tc>
          <w:tcPr>
            <w:tcW w:w="1701" w:type="dxa"/>
          </w:tcPr>
          <w:p w14:paraId="2AF587C1" w14:textId="77777777" w:rsidR="00FB448D" w:rsidRPr="006741AA" w:rsidRDefault="00FB448D" w:rsidP="00C654E5">
            <w:pPr>
              <w:pStyle w:val="TableText"/>
              <w:rPr>
                <w:rFonts w:ascii="Aptos SemiBold" w:hAnsi="Aptos SemiBold"/>
              </w:rPr>
            </w:pPr>
            <w:r w:rsidRPr="006741AA">
              <w:rPr>
                <w:rFonts w:ascii="Aptos SemiBold" w:hAnsi="Aptos SemiBold"/>
              </w:rPr>
              <w:t>Prepared by</w:t>
            </w:r>
          </w:p>
        </w:tc>
        <w:tc>
          <w:tcPr>
            <w:tcW w:w="7927" w:type="dxa"/>
          </w:tcPr>
          <w:p w14:paraId="2865BC93" w14:textId="77777777" w:rsidR="00FB448D" w:rsidRPr="006741AA" w:rsidRDefault="00FB448D" w:rsidP="00C654E5">
            <w:pPr>
              <w:pStyle w:val="TableText"/>
            </w:pPr>
            <w:r w:rsidRPr="006741AA">
              <w:t>[Name, branch]</w:t>
            </w:r>
          </w:p>
        </w:tc>
      </w:tr>
      <w:tr w:rsidR="00FB448D" w:rsidRPr="006741AA" w14:paraId="00213D8A" w14:textId="77777777" w:rsidTr="002D3FA7">
        <w:tc>
          <w:tcPr>
            <w:tcW w:w="1701" w:type="dxa"/>
          </w:tcPr>
          <w:p w14:paraId="38453E31" w14:textId="77777777" w:rsidR="00FB448D" w:rsidRPr="006741AA" w:rsidRDefault="00FB448D" w:rsidP="00C654E5">
            <w:pPr>
              <w:pStyle w:val="TableText"/>
              <w:rPr>
                <w:rFonts w:ascii="Aptos SemiBold" w:hAnsi="Aptos SemiBold"/>
                <w:color w:val="999999"/>
              </w:rPr>
            </w:pPr>
            <w:r w:rsidRPr="006741AA">
              <w:rPr>
                <w:rFonts w:ascii="Aptos SemiBold" w:hAnsi="Aptos SemiBold"/>
              </w:rPr>
              <w:t>Date prepared</w:t>
            </w:r>
          </w:p>
        </w:tc>
        <w:tc>
          <w:tcPr>
            <w:tcW w:w="7927" w:type="dxa"/>
          </w:tcPr>
          <w:p w14:paraId="536FB936" w14:textId="77777777" w:rsidR="00FB448D" w:rsidRPr="006741AA" w:rsidRDefault="00FB448D" w:rsidP="00C654E5">
            <w:pPr>
              <w:pStyle w:val="TableText"/>
            </w:pPr>
            <w:r w:rsidRPr="006741AA">
              <w:t>[Date]</w:t>
            </w:r>
          </w:p>
        </w:tc>
      </w:tr>
    </w:tbl>
    <w:p w14:paraId="781726DE" w14:textId="77777777" w:rsidR="002D3FA7" w:rsidRDefault="002D3FA7" w:rsidP="002D3FA7">
      <w:pPr>
        <w:pStyle w:val="Heading1"/>
      </w:pPr>
    </w:p>
    <w:p w14:paraId="106C73B1" w14:textId="77777777" w:rsidR="002D3FA7" w:rsidRDefault="002D3FA7" w:rsidP="002D3FA7">
      <w:pPr>
        <w:rPr>
          <w:rFonts w:ascii="Noto Sans" w:hAnsi="Noto Sans"/>
          <w:color w:val="083A42"/>
          <w:sz w:val="30"/>
          <w:szCs w:val="30"/>
        </w:rPr>
      </w:pPr>
      <w:r>
        <w:br w:type="page"/>
      </w:r>
    </w:p>
    <w:p w14:paraId="46A9B637" w14:textId="3CFF8983" w:rsidR="00BD71B1" w:rsidRPr="002D3FA7" w:rsidRDefault="00000000" w:rsidP="002D3FA7">
      <w:pPr>
        <w:pStyle w:val="Heading1"/>
      </w:pPr>
      <w:r w:rsidRPr="009D47C4">
        <w:rPr>
          <w:rFonts w:ascii="Aptos SemiBold" w:hAnsi="Aptos SemiBold"/>
        </w:rPr>
        <w:lastRenderedPageBreak/>
        <w:t>Part A:</w:t>
      </w:r>
      <w:r w:rsidR="009D47C4">
        <w:t> </w:t>
      </w:r>
      <w:r w:rsidRPr="002D3FA7">
        <w:t>Executive briefing</w:t>
      </w:r>
    </w:p>
    <w:p w14:paraId="223F9D96" w14:textId="77777777" w:rsidR="00BD71B1" w:rsidRPr="002D3FA7" w:rsidRDefault="00000000" w:rsidP="002D3FA7">
      <w:pPr>
        <w:pStyle w:val="Heading2"/>
      </w:pPr>
      <w:r w:rsidRPr="002D3FA7">
        <w:t>Hearing significance</w:t>
      </w:r>
    </w:p>
    <w:p w14:paraId="33D71566" w14:textId="77777777" w:rsidR="002D3FA7" w:rsidRPr="002D3FA7" w:rsidRDefault="00000000" w:rsidP="002D3FA7">
      <w:r>
        <w:t>This was the first public hearing of the Senate Environment and Communications Legislation Committee's inquiry into the Environment Protection Reform Bill 2025 and six related bills — and, as the only full-day hearing before the March 2026 reporting deadline, one of the most important intelligence events of the entire inquiry cycle. Seven witness blocs gave evidence across nine hours, representing the full spectrum of affected stakeholders: the Samuel Review author, major conservation NGOs, the clean energy sector, biodiversity scientists, environmental lawyers, mining industry peaks, the property development sector, and DCCEEW officials. The breadth and intensity of the hearing make this briefing an essential baseline for all subsequent engagement, amendment discussions, and committee report preparation.</w:t>
      </w:r>
    </w:p>
    <w:p w14:paraId="2F3B6BF1" w14:textId="268ABF3C" w:rsidR="00BD71B1" w:rsidRPr="002D3FA7" w:rsidRDefault="00000000" w:rsidP="002D3FA7">
      <w:pPr>
        <w:pStyle w:val="Heading2"/>
      </w:pPr>
      <w:r>
        <w:t>Priority flags</w:t>
      </w:r>
    </w:p>
    <w:p w14:paraId="15A8BE0B" w14:textId="77777777" w:rsidR="00BD71B1" w:rsidRDefault="00000000" w:rsidP="002D3FA7">
      <w:r>
        <w:t>The following items require SES attention, ranked by urgency.</w:t>
      </w:r>
    </w:p>
    <w:p w14:paraId="66E446EC" w14:textId="5A2B7CAE" w:rsidR="00BD71B1" w:rsidRDefault="002D3FA7" w:rsidP="002D3FA7">
      <w:r>
        <w:rPr>
          <w:rFonts w:ascii="MS Gothic" w:eastAsia="MS Gothic" w:hAnsi="MS Gothic" w:cs="MS Gothic"/>
        </w:rPr>
        <w:t>Ⅰ</w:t>
      </w:r>
      <w:r>
        <w:rPr>
          <w:rFonts w:ascii="MS Gothic" w:eastAsia="MS Gothic" w:hAnsi="MS Gothic" w:cs="MS Gothic"/>
        </w:rPr>
        <w:t> </w:t>
      </w:r>
      <w:r w:rsidR="00000000">
        <w:t>🔴  URGENT — Questions on notice: departmental advices and undisclosed amendments. Senator Henderson placed two high-risk QoNs: (a) copies of all departmental advices to the minister on unacceptable impacts criteria; and (b) a summary of proposed amendments drafted by the department not yet made public. Disclosure of pre-consultation positions that diverge from public testimony creates significant reputational risk. Responses require Secretary-level clearance and careful legal review before submission.</w:t>
      </w:r>
    </w:p>
    <w:p w14:paraId="5E81B9A7" w14:textId="049C276C" w:rsidR="00BD71B1" w:rsidRDefault="002D3FA7" w:rsidP="002D3FA7">
      <w:r>
        <w:rPr>
          <w:rFonts w:ascii="MS Gothic" w:eastAsia="MS Gothic" w:hAnsi="MS Gothic" w:cs="MS Gothic"/>
        </w:rPr>
        <w:t>Ⅱ</w:t>
      </w:r>
      <w:r>
        <w:t> </w:t>
      </w:r>
      <w:r w:rsidR="00000000">
        <w:t>🟠  SIGNIFICANT — Species outcomes gap publicly exposed. Under direct questioning by Senator Hanson-Young, DCCEEW officials were unable to name a single animal species that would be saved from extinction under the bills. This gap was publicly exposed and will recur at every subsequent hearing. An evidence-based response — co-developed with the Threatened Species Scientific Committee — must be prepared before the next appearance.</w:t>
      </w:r>
    </w:p>
    <w:p w14:paraId="31BC276B" w14:textId="0EC2E0EC" w:rsidR="00BD71B1" w:rsidRDefault="002D3FA7" w:rsidP="002D3FA7">
      <w:r>
        <w:rPr>
          <w:rFonts w:ascii="MS Gothic" w:eastAsia="MS Gothic" w:hAnsi="MS Gothic" w:cs="MS Gothic"/>
        </w:rPr>
        <w:t>Ⅲ</w:t>
      </w:r>
      <w:r>
        <w:rPr>
          <w:rFonts w:ascii="MS Gothic" w:eastAsia="MS Gothic" w:hAnsi="MS Gothic" w:cs="MS Gothic"/>
        </w:rPr>
        <w:t> </w:t>
      </w:r>
      <w:r w:rsidR="00000000">
        <w:t>🟡  STRATEGIC — TSSC submission imminent. Prof. Iain Gordon (TSSC Chair) confirmed in evidence that TSSC has not been asked by government to assess species-level outcomes of the bills, and that TSSC was finalising its own submission due within days of the hearing. The TSSC submission will likely become a primary reference point in the committee's deliberations. DCCEEW should obtain a copy immediately on release and prepare a response.</w:t>
      </w:r>
    </w:p>
    <w:p w14:paraId="1A40EEFE" w14:textId="3AD88802" w:rsidR="00BD71B1" w:rsidRDefault="002D3FA7" w:rsidP="002D3FA7">
      <w:r>
        <w:rPr>
          <w:rFonts w:ascii="Segoe UI Symbol" w:hAnsi="Segoe UI Symbol" w:cs="Segoe UI Symbol"/>
        </w:rPr>
        <w:t>⁂</w:t>
      </w:r>
      <w:r>
        <w:rPr>
          <w:rFonts w:ascii="Segoe UI Symbol" w:hAnsi="Segoe UI Symbol" w:cs="Segoe UI Symbol"/>
        </w:rPr>
        <w:t> </w:t>
      </w:r>
      <w:r w:rsidR="00000000">
        <w:t>🔵  FORWARD — Mining sector engagement asymmetry. CME WA confirmed it had not met the minister since the legislation was tabled, despite the MCA having engaged the minister, PM's office, and multiple party offices. This asymmetry risks CME WA escalating concerns through Senate crossbench channels. A targeted ministerial engagement with CME WA is advisable before the next hearing.</w:t>
      </w:r>
    </w:p>
    <w:p w14:paraId="481D45D0" w14:textId="442B75CF" w:rsidR="00BD71B1" w:rsidRDefault="002D3FA7" w:rsidP="002D3FA7">
      <w:r>
        <w:rPr>
          <w:rFonts w:ascii="Segoe UI Symbol" w:hAnsi="Segoe UI Symbol" w:cs="Segoe UI Symbol"/>
        </w:rPr>
        <w:t>⇉</w:t>
      </w:r>
      <w:r>
        <w:rPr>
          <w:rFonts w:ascii="Segoe UI Symbol" w:hAnsi="Segoe UI Symbol" w:cs="Segoe UI Symbol"/>
        </w:rPr>
        <w:t> </w:t>
      </w:r>
      <w:r w:rsidR="00000000">
        <w:t>🔵  FORWARD — Pre-second hearing preparation priorities: (a) QoN responses on departmental advices and draft amendments; (b) species outcomes briefing with TSSC input; (c) brief on the draft offset standard (released 24-48 hours before this hearing, insufficient digestion time for witnesses); (d) sharpen the water trigger devolution argument; (e) prepare a worked example of the national interest exemption operating at the end of the assessment pathway.</w:t>
      </w:r>
    </w:p>
    <w:p w14:paraId="38F23D05" w14:textId="77777777" w:rsidR="00BD71B1" w:rsidRDefault="00000000" w:rsidP="002D3FA7">
      <w:pPr>
        <w:pStyle w:val="Heading2"/>
      </w:pPr>
      <w:r>
        <w:t>Political temperature</w:t>
      </w:r>
    </w:p>
    <w:p w14:paraId="401BCCFF" w14:textId="77777777" w:rsidR="00BD71B1" w:rsidRDefault="00000000" w:rsidP="002D3FA7">
      <w:r>
        <w:t>The committee is deeply polarised and the government faces difficult legislative arithmetic. Labor senators (Grogan, Ananda-Rajah) are visibly anxious about achieving nothing — Senator Grogan stated explicitly she does not want to explain to the environment movement why the legislation failed, while refusing to be held hostage by those demanding perfection. The Greens (Hanson-Young) are running a disciplined attack on three specific loopholes: RFA exemption, continuous use exemption, and the absence of a climate trigger; their questioning is forensic and well-briefed. The Coalition (Henderson, McDonald, Duniam) is focused on business certainty — the subjective nature of the unacceptable impacts criteria, EPA accountability, and Indigenous consultation adequacy — and is actively seeking documentation to build a dissenting report. Senator Pocock is aligned with the conservation position on exemptions but asked the most technically precise questions on the offset scheme. The hearing made clear the bills will require amendment to pass — the question is whose amendments, on which provisions, and at what political cost.</w:t>
      </w:r>
    </w:p>
    <w:p w14:paraId="1FA37FB2" w14:textId="77777777" w:rsidR="00BD71B1" w:rsidRDefault="00000000" w:rsidP="002D3FA7">
      <w:pPr>
        <w:pStyle w:val="Heading2"/>
      </w:pPr>
      <w:r>
        <w:t>Forward look</w:t>
      </w:r>
    </w:p>
    <w:p w14:paraId="5E6684DD" w14:textId="77777777" w:rsidR="00BD71B1" w:rsidRDefault="00000000" w:rsidP="002D3FA7">
      <w:r>
        <w:t>The committee will report by 24 March 2026 and the government wants passage before year end. The critical path runs through three groups simultaneously: the Greens (who need movement on RFA/continuous use exemptions or a climate trigger), the mining sector (who need a cleaner unacceptable impacts definition), and at least a portion of the crossbench. DCCEEW should prepare for the next hearing with: a defensible species-outcomes brief; a worked example of how the national interest exemption operates in practice; a clear explanation of why the draft offset standard meets the guardrail requirements raised by witnesses; and a strategy for the water trigger question. The TSSC submission must be treated as a priority intelligence item — it will be the most technically authoritative document the committee receives and will require a substantive departmental response.</w:t>
      </w:r>
    </w:p>
    <w:p w14:paraId="1E03EAC7" w14:textId="77777777" w:rsidR="00BD71B1" w:rsidRDefault="00000000" w:rsidP="002D3FA7">
      <w:r>
        <w:br w:type="page"/>
      </w:r>
    </w:p>
    <w:p w14:paraId="17529BA1" w14:textId="0B7DC153" w:rsidR="00BD71B1" w:rsidRDefault="00000000" w:rsidP="002D3FA7">
      <w:pPr>
        <w:pStyle w:val="Heading1"/>
      </w:pPr>
      <w:r w:rsidRPr="009D47C4">
        <w:rPr>
          <w:rFonts w:ascii="Aptos SemiBold" w:hAnsi="Aptos SemiBold"/>
        </w:rPr>
        <w:t>Part B:</w:t>
      </w:r>
      <w:r w:rsidR="009D47C4">
        <w:t> </w:t>
      </w:r>
      <w:r>
        <w:t>Section briefings</w:t>
      </w:r>
    </w:p>
    <w:tbl>
      <w:tblPr>
        <w:tblW w:w="9638" w:type="dxa"/>
        <w:tblBorders>
          <w:top w:val="single" w:sz="2" w:space="0" w:color="FFB81C"/>
          <w:bottom w:val="single" w:sz="2" w:space="0" w:color="FFB81C"/>
        </w:tblBorders>
        <w:tblCellMar>
          <w:left w:w="74" w:type="dxa"/>
          <w:right w:w="74" w:type="dxa"/>
        </w:tblCellMar>
        <w:tblLook w:val="04A0" w:firstRow="1" w:lastRow="0" w:firstColumn="1" w:lastColumn="0" w:noHBand="0" w:noVBand="1"/>
      </w:tblPr>
      <w:tblGrid>
        <w:gridCol w:w="9638"/>
      </w:tblGrid>
      <w:tr w:rsidR="00BD71B1" w14:paraId="5239D02E" w14:textId="77777777" w:rsidTr="00FC0351">
        <w:tblPrEx>
          <w:tblCellMar>
            <w:top w:w="0" w:type="dxa"/>
            <w:bottom w:w="0" w:type="dxa"/>
          </w:tblCellMar>
        </w:tblPrEx>
        <w:tc>
          <w:tcPr>
            <w:tcW w:w="9638" w:type="dxa"/>
            <w:shd w:val="clear" w:color="auto" w:fill="FFF8E6"/>
          </w:tcPr>
          <w:p w14:paraId="5FBC3493" w14:textId="5F56A5A5" w:rsidR="00BD71B1" w:rsidRDefault="009D47C4" w:rsidP="009D47C4">
            <w:pPr>
              <w:pStyle w:val="SmallText"/>
              <w:spacing w:before="90" w:after="90"/>
            </w:pPr>
            <w:r w:rsidRPr="009D47C4">
              <w:rPr>
                <w:b/>
                <w:bCs/>
              </w:rPr>
              <w:t>Note:</w:t>
            </w:r>
            <w:r>
              <w:t> </w:t>
            </w:r>
            <w:r w:rsidR="00000000" w:rsidRPr="009D47C4">
              <w:rPr>
                <w:rFonts w:ascii="Aptos SemiBold" w:hAnsi="Aptos SemiBold"/>
              </w:rPr>
              <w:t>Section grouping</w:t>
            </w:r>
          </w:p>
        </w:tc>
      </w:tr>
      <w:tr w:rsidR="00BD71B1" w14:paraId="4F399497" w14:textId="77777777" w:rsidTr="00FC0351">
        <w:tblPrEx>
          <w:tblCellMar>
            <w:top w:w="0" w:type="dxa"/>
            <w:bottom w:w="0" w:type="dxa"/>
          </w:tblCellMar>
        </w:tblPrEx>
        <w:tc>
          <w:tcPr>
            <w:tcW w:w="9638" w:type="dxa"/>
            <w:shd w:val="clear" w:color="auto" w:fill="FFF8E6"/>
          </w:tcPr>
          <w:p w14:paraId="0EF45A51" w14:textId="77777777" w:rsidR="00BD71B1" w:rsidRDefault="00000000" w:rsidP="009D47C4">
            <w:pPr>
              <w:pStyle w:val="SmallText"/>
              <w:spacing w:before="90" w:after="90"/>
            </w:pPr>
            <w:r>
              <w:t>This hearing is organised by witness bloc in chronological order of appearance. Seven distinct blocs appeared across the day, each representing a coherent stakeholder interest. Grouping by witness bloc — rather than by bill or theme — best serves analytical clarity because the most significant intelligence from this hearing derives from the positioning and internal consistency of each stakeholder group, not from cross-cutting bill-level analysis. Cross-cutting thematic analysis is provided in Part A and Part C. Provision-level cross-referencing is provided in L2 of each section.</w:t>
            </w:r>
          </w:p>
        </w:tc>
      </w:tr>
    </w:tbl>
    <w:p w14:paraId="02273FD3" w14:textId="78291AB8" w:rsidR="00BD71B1" w:rsidRDefault="00000000" w:rsidP="009D47C4">
      <w:pPr>
        <w:pStyle w:val="Heading2"/>
      </w:pPr>
      <w:r>
        <w:t>Section 1:</w:t>
      </w:r>
      <w:r w:rsidR="009D47C4">
        <w:t> </w:t>
      </w:r>
      <w:r>
        <w:t>Prof. Graeme Samuel AC — Private capacity (Review author)</w:t>
      </w:r>
    </w:p>
    <w:tbl>
      <w:tblPr>
        <w:tblStyle w:val="TableGrid"/>
        <w:tblW w:w="0" w:type="auto"/>
        <w:tblBorders>
          <w:top w:val="single" w:sz="2" w:space="0" w:color="auto"/>
          <w:left w:val="none" w:sz="0" w:space="0" w:color="auto"/>
          <w:bottom w:val="single" w:sz="2" w:space="0" w:color="auto"/>
          <w:right w:val="none" w:sz="0" w:space="0" w:color="auto"/>
          <w:insideH w:val="dotted" w:sz="4" w:space="0" w:color="auto"/>
          <w:insideV w:val="none" w:sz="0" w:space="0" w:color="auto"/>
        </w:tblBorders>
        <w:tblLook w:val="04A0" w:firstRow="1" w:lastRow="0" w:firstColumn="1" w:lastColumn="0" w:noHBand="0" w:noVBand="1"/>
      </w:tblPr>
      <w:tblGrid>
        <w:gridCol w:w="1701"/>
        <w:gridCol w:w="7927"/>
      </w:tblGrid>
      <w:tr w:rsidR="009D47C4" w:rsidRPr="006741AA" w14:paraId="391902BB" w14:textId="77777777" w:rsidTr="00C654E5">
        <w:tc>
          <w:tcPr>
            <w:tcW w:w="1701" w:type="dxa"/>
          </w:tcPr>
          <w:p w14:paraId="0340C59E" w14:textId="0A051326" w:rsidR="009D47C4" w:rsidRPr="006741AA" w:rsidRDefault="009D47C4" w:rsidP="00C654E5">
            <w:pPr>
              <w:pStyle w:val="TableText"/>
              <w:rPr>
                <w:rFonts w:ascii="Aptos SemiBold" w:hAnsi="Aptos SemiBold"/>
              </w:rPr>
            </w:pPr>
            <w:r>
              <w:rPr>
                <w:rFonts w:ascii="Aptos SemiBold" w:hAnsi="Aptos SemiBold"/>
              </w:rPr>
              <w:t>Hansard pages</w:t>
            </w:r>
          </w:p>
        </w:tc>
        <w:tc>
          <w:tcPr>
            <w:tcW w:w="7927" w:type="dxa"/>
          </w:tcPr>
          <w:p w14:paraId="66E9F997" w14:textId="2D92E261" w:rsidR="009D47C4" w:rsidRPr="006741AA" w:rsidRDefault="009D47C4" w:rsidP="00C654E5">
            <w:pPr>
              <w:pStyle w:val="TableText"/>
            </w:pPr>
            <w:r w:rsidRPr="006741AA">
              <w:t>[</w:t>
            </w:r>
            <w:r>
              <w:t>pp. 1 – 23 (approx.)</w:t>
            </w:r>
            <w:r w:rsidRPr="006741AA">
              <w:t>]</w:t>
            </w:r>
          </w:p>
        </w:tc>
      </w:tr>
      <w:tr w:rsidR="009D47C4" w:rsidRPr="006741AA" w14:paraId="5ACB8A03" w14:textId="77777777" w:rsidTr="00C654E5">
        <w:tc>
          <w:tcPr>
            <w:tcW w:w="1701" w:type="dxa"/>
          </w:tcPr>
          <w:p w14:paraId="0F8A877E" w14:textId="73A52099" w:rsidR="009D47C4" w:rsidRPr="006741AA" w:rsidRDefault="009D47C4" w:rsidP="00C654E5">
            <w:pPr>
              <w:pStyle w:val="TableText"/>
              <w:rPr>
                <w:rFonts w:ascii="Aptos SemiBold" w:hAnsi="Aptos SemiBold"/>
              </w:rPr>
            </w:pPr>
            <w:r>
              <w:rPr>
                <w:rFonts w:ascii="Aptos SemiBold" w:hAnsi="Aptos SemiBold"/>
              </w:rPr>
              <w:t>Witnesses</w:t>
            </w:r>
          </w:p>
        </w:tc>
        <w:tc>
          <w:tcPr>
            <w:tcW w:w="7927" w:type="dxa"/>
          </w:tcPr>
          <w:p w14:paraId="507CB228" w14:textId="759AC420" w:rsidR="009D47C4" w:rsidRPr="006741AA" w:rsidRDefault="009D47C4" w:rsidP="00C654E5">
            <w:pPr>
              <w:pStyle w:val="TableText"/>
            </w:pPr>
            <w:r>
              <w:t>Prof. Graeme Samuel AC, private capacity (author, 2020 Independent Review of the EPBC Act)</w:t>
            </w:r>
          </w:p>
        </w:tc>
      </w:tr>
    </w:tbl>
    <w:p w14:paraId="36C821B9" w14:textId="77777777" w:rsidR="00BD71B1" w:rsidRPr="009D47C4" w:rsidRDefault="00000000" w:rsidP="009D47C4">
      <w:pPr>
        <w:pStyle w:val="Heading3"/>
      </w:pPr>
      <w:r w:rsidRPr="009D47C4">
        <w:t>L1 — The record</w:t>
      </w:r>
    </w:p>
    <w:p w14:paraId="A0000001" w14:textId="77777777" w:rsidR="00BD71B1" w:rsidRDefault="00BD71B1">
      <w:pPr>
        <w:pStyle w:val="ListParagraph"/>
        <w:ind w:left="454" w:hanging="454"/>
      </w:pPr>
      <w:r>
        <w:t xml:space="preserve">1.  Appeared in private capacity as author of the 2020 Independent Review of the EPBC Act</w:t>
      </w:r>
    </w:p>
    <w:p w14:paraId="A0000002" w14:textId="77777777" w:rsidR="00BD71B1" w:rsidRDefault="00BD71B1">
      <w:pPr>
        <w:pStyle w:val="ListParagraph"/>
        <w:ind w:left="454" w:hanging="454"/>
      </w:pPr>
      <w:r>
        <w:t xml:space="preserve">2.  Questioned by Senators Grogan, Hanson-Young, Henderson, Pocock, Walker, and Thorpe</w:t>
      </w:r>
    </w:p>
    <w:p w14:paraId="A0000003" w14:textId="77777777" w:rsidR="00BD71B1" w:rsidRDefault="00BD71B1">
      <w:pPr>
        <w:pStyle w:val="ListParagraph"/>
        <w:ind w:left="454" w:hanging="454"/>
      </w:pPr>
      <w:r>
        <w:t xml:space="preserve">3.  Key topics covered:</w:t>
      </w:r>
    </w:p>
    <w:p w14:paraId="A0000004" w14:textId="77777777" w:rsidR="00BD71B1" w:rsidRDefault="00BD71B1">
      <w:pPr>
        <w:pStyle w:val="ListParagraph"/>
        <w:ind w:left="908" w:hanging="454"/>
      </w:pPr>
      <w:r>
        <w:t xml:space="preserve">a.  National interest exemption</w:t>
      </w:r>
    </w:p>
    <w:p w14:paraId="A0000005" w14:textId="77777777" w:rsidR="00BD71B1" w:rsidRDefault="00BD71B1">
      <w:pPr>
        <w:pStyle w:val="ListParagraph"/>
        <w:ind w:left="908" w:hanging="454"/>
      </w:pPr>
      <w:r>
        <w:t xml:space="preserve">b.  RFA and continuous use exemptions</w:t>
      </w:r>
    </w:p>
    <w:p w14:paraId="A0000006" w14:textId="77777777" w:rsidR="00BD71B1" w:rsidRDefault="00BD71B1">
      <w:pPr>
        <w:pStyle w:val="ListParagraph"/>
        <w:ind w:left="908" w:hanging="454"/>
      </w:pPr>
      <w:r>
        <w:t xml:space="preserve">c.  EPA structure and decision-making role</w:t>
      </w:r>
    </w:p>
    <w:p w14:paraId="A0000007" w14:textId="77777777" w:rsidR="00BD71B1" w:rsidRDefault="00BD71B1">
      <w:pPr>
        <w:pStyle w:val="ListParagraph"/>
        <w:ind w:left="908" w:hanging="454"/>
      </w:pPr>
      <w:r>
        <w:t xml:space="preserve">d.  Climate trigger</w:t>
      </w:r>
    </w:p>
    <w:p w14:paraId="A0000008" w14:textId="77777777" w:rsidR="00BD71B1" w:rsidRDefault="00BD71B1">
      <w:pPr>
        <w:pStyle w:val="ListParagraph"/>
        <w:ind w:left="908" w:hanging="454"/>
      </w:pPr>
      <w:r>
        <w:t xml:space="preserve">e.  Unacceptable impacts criteria and the role of national environmental standards (NES)</w:t>
      </w:r>
    </w:p>
    <w:p w14:paraId="A0000009" w14:textId="77777777" w:rsidR="00BD71B1" w:rsidRDefault="00BD71B1">
      <w:pPr>
        <w:pStyle w:val="ListParagraph"/>
        <w:ind w:left="908" w:hanging="454"/>
      </w:pPr>
      <w:r>
        <w:t xml:space="preserve">f.  Scope of ministerial discretion</w:t>
      </w:r>
    </w:p>
    <w:p w14:paraId="A000000A" w14:textId="77777777" w:rsidR="00BD71B1" w:rsidRDefault="00BD71B1">
      <w:pPr>
        <w:pStyle w:val="ListParagraph"/>
        <w:ind w:left="454" w:hanging="454"/>
      </w:pPr>
      <w:r>
        <w:t xml:space="preserve">4.  No documents tabled</w:t>
      </w:r>
    </w:p>
    <w:p w14:paraId="A000000B" w14:textId="77777777" w:rsidR="00BD71B1" w:rsidRDefault="00BD71B1">
      <w:pPr>
        <w:pStyle w:val="ListParagraph"/>
        <w:ind w:left="454" w:hanging="454"/>
      </w:pPr>
      <w:r>
        <w:t xml:space="preserve">5.  Acknowledged using AI tools to draft guidance on the national interest definition during the consultative process</w:t>
      </w:r>
    </w:p>
    <w:p w14:paraId="55086106" w14:textId="77777777" w:rsidR="00BD71B1" w:rsidRDefault="00000000" w:rsidP="009D47C4">
      <w:pPr>
        <w:pStyle w:val="Heading3"/>
      </w:pPr>
      <w:r>
        <w:t>L2 — Legislative and policy signal</w:t>
      </w:r>
    </w:p>
    <w:p w14:paraId="A000001A" w14:textId="77777777" w:rsidR="00BD71B1" w:rsidRDefault="00BD71B1">
      <w:pPr>
        <w:pStyle w:val="ListParagraph"/>
        <w:ind w:left="454" w:hanging="454"/>
      </w:pPr>
      <w:r>
        <w:t xml:space="preserve">1.  National interest exemption — Samuel does not support current form; described it as creating an 'abuse of power' risk and a 'conga line of lobbyists'; advocated removal or incorporation into the MNES balancing test; diverges from DCCEEW's public framing that the exemption is appropriately limited and placed at the end of the assessment pathway</w:t>
      </w:r>
    </w:p>
    <w:p w14:paraId="A000001B" w14:textId="77777777" w:rsidR="00BD71B1" w:rsidRDefault="00BD71B1">
      <w:pPr>
        <w:pStyle w:val="ListParagraph"/>
        <w:ind w:left="454" w:hanging="454"/>
      </w:pPr>
      <w:r>
        <w:t xml:space="preserve">2.  RFA exemption — stated he 'hates' it but acknowledged political constraints (state agreements to 2030); advocated robust NES to govern RFA conduct in the absence of removal; praised Victoria's early cessation of native forest logging</w:t>
      </w:r>
    </w:p>
    <w:p w14:paraId="A000001C" w14:textId="77777777" w:rsidR="00BD71B1" w:rsidRDefault="00BD71B1">
      <w:pPr>
        <w:pStyle w:val="ListParagraph"/>
        <w:ind w:left="454" w:hanging="454"/>
      </w:pPr>
      <w:r>
        <w:t xml:space="preserve">3.  Sections 38 and 42 legal dispute — did not accept NGO legal argument that NES application to RFA-covered activities is precluded by sections 38 and 42 as drafted; this dispute between Samuel and NGO witnesses is unresolved on the public record and requires urgent legal advice</w:t>
      </w:r>
    </w:p>
    <w:p w14:paraId="A000001D" w14:textId="77777777" w:rsidR="00BD71B1" w:rsidRDefault="00BD71B1">
      <w:pPr>
        <w:pStyle w:val="ListParagraph"/>
        <w:ind w:left="454" w:hanging="454"/>
      </w:pPr>
      <w:r>
        <w:t xml:space="preserve">4.  EPA structure — prefers audit, oversight, and compliance role only (not primary decision-making); predicted EPA decision role would diminish to 'almost nothing' once states are accredited; broadly consistent with DCCEEW but goes further in scepticism of EPA decision role</w:t>
      </w:r>
    </w:p>
    <w:p w14:paraId="A000001E" w14:textId="77777777" w:rsidR="00BD71B1" w:rsidRDefault="00BD71B1">
      <w:pPr>
        <w:pStyle w:val="ListParagraph"/>
        <w:ind w:left="454" w:hanging="454"/>
      </w:pPr>
      <w:r>
        <w:t xml:space="preserve">5.  Climate — opposes climate trigger; prefers emissions disclosure for projects above 100,000 tonnes with referral to the relevant climate policy division; consistent with bills as drafted</w:t>
      </w:r>
    </w:p>
    <w:p w14:paraId="A000001F" w14:textId="77777777" w:rsidR="00BD71B1" w:rsidRDefault="00BD71B1">
      <w:pPr>
        <w:pStyle w:val="ListParagraph"/>
        <w:ind w:left="454" w:hanging="454"/>
      </w:pPr>
      <w:r>
        <w:t xml:space="preserve">6.  NES specificity — emphasised granular national environmental standards as the mechanism for certainty and reduced litigation; described a 'self-help hierarchy' where rules are sufficiently detailed to determine permissibility without ministerial intervention</w:t>
      </w:r>
    </w:p>
    <w:p w14:paraId="0393E6C0" w14:textId="77777777" w:rsidR="00BD71B1" w:rsidRDefault="00000000" w:rsidP="009D47C4">
      <w:pPr>
        <w:pStyle w:val="Heading3"/>
      </w:pPr>
      <w:r>
        <w:t>L3 — Political intelligence</w:t>
      </w:r>
    </w:p>
    <w:p w14:paraId="A0000029" w14:textId="77777777" w:rsidR="00BD71B1" w:rsidRDefault="00BD71B1">
      <w:pPr>
        <w:pStyle w:val="ListParagraph"/>
        <w:ind w:left="454" w:hanging="454"/>
      </w:pPr>
      <w:r>
        <w:t xml:space="preserve">1.  Unusual political dynamic: both government (bills implement his review) and critics (who cite specific objections) claimed Samuel as a supporter</w:t>
      </w:r>
    </w:p>
    <w:p w14:paraId="A000002A" w14:textId="77777777" w:rsidR="00BD71B1" w:rsidRDefault="00BD71B1">
      <w:pPr>
        <w:pStyle w:val="ListParagraph"/>
        <w:ind w:left="454" w:hanging="454"/>
      </w:pPr>
      <w:r>
        <w:t xml:space="preserve">2.  His statement that he does not support the bills in their current form is the most significant political signal from this session and is now on the public record</w:t>
      </w:r>
    </w:p>
    <w:p w14:paraId="A000002B" w14:textId="77777777" w:rsidR="00BD71B1" w:rsidRDefault="00BD71B1">
      <w:pPr>
        <w:pStyle w:val="ListParagraph"/>
        <w:ind w:left="454" w:hanging="454"/>
      </w:pPr>
      <w:r>
        <w:t xml:space="preserve">3.  Labor senators worked to establish Samuel supports the '80 per cent' approach and that business stakeholders moved the goalposts after the consultative process</w:t>
      </w:r>
    </w:p>
    <w:p w14:paraId="A000002C" w14:textId="77777777" w:rsidR="00BD71B1" w:rsidRDefault="00BD71B1">
      <w:pPr>
        <w:pStyle w:val="ListParagraph"/>
        <w:ind w:left="454" w:hanging="454"/>
      </w:pPr>
      <w:r>
        <w:t xml:space="preserve">4.  Senator Hanson-Young pressed Samuel on whether NES would govern RFA conduct — he maintained they would; NGO witnesses later disputed this on legal grounds</w:t>
      </w:r>
    </w:p>
    <w:p w14:paraId="A000002D" w14:textId="77777777" w:rsidR="00BD71B1" w:rsidRDefault="00BD71B1">
      <w:pPr>
        <w:pStyle w:val="ListParagraph"/>
        <w:ind w:left="454" w:hanging="454"/>
      </w:pPr>
      <w:r>
        <w:t xml:space="preserve">5.  Coalition used Samuel's evidence selectively — cited EPA accountability concerns without engaging with his pro-environment positions</w:t>
      </w:r>
    </w:p>
    <w:p w14:paraId="A000002E" w14:textId="77777777" w:rsidR="00BD71B1" w:rsidRDefault="00BD71B1">
      <w:pPr>
        <w:pStyle w:val="ListParagraph"/>
        <w:ind w:left="454" w:hanging="454"/>
      </w:pPr>
      <w:r>
        <w:t xml:space="preserve">6.  Senator Walker appeared most sympathetic to Samuel's overall framing</w:t>
      </w:r>
    </w:p>
    <w:p w14:paraId="04035E0E" w14:textId="77777777" w:rsidR="00BD71B1" w:rsidRDefault="00000000" w:rsidP="009D47C4">
      <w:pPr>
        <w:pStyle w:val="Heading3"/>
      </w:pPr>
      <w:r>
        <w:t>L4 — Risk and exposure</w:t>
      </w:r>
    </w:p>
    <w:p w14:paraId="A0000036" w14:textId="77777777" w:rsidR="00BD71B1" w:rsidRDefault="00BD71B1">
      <w:pPr>
        <w:pStyle w:val="ListParagraph"/>
        <w:ind w:left="454" w:hanging="454"/>
      </w:pPr>
      <w:r>
        <w:t xml:space="preserve">1.  No formal questions on notice placed in this session</w:t>
      </w:r>
    </w:p>
    <w:p w14:paraId="A0000037" w14:textId="77777777" w:rsidR="00BD71B1" w:rsidRDefault="00BD71B1">
      <w:pPr>
        <w:pStyle w:val="ListParagraph"/>
        <w:ind w:left="454" w:hanging="454"/>
      </w:pPr>
      <w:r>
        <w:t xml:space="preserve">2.  Samuel's statement that he does not support the bills in current form is now on the public record — DCCEEW should prepare written responses to his specific objections for use in subsequent submissions and minister briefings</w:t>
      </w:r>
    </w:p>
    <w:p w14:paraId="A0000038" w14:textId="77777777" w:rsidR="00BD71B1" w:rsidRDefault="00BD71B1">
      <w:pPr>
        <w:pStyle w:val="ListParagraph"/>
        <w:ind w:left="454" w:hanging="454"/>
      </w:pPr>
      <w:r>
        <w:t xml:space="preserve">3.  Exposure: Samuel's claim that NES would govern RFA conduct is disputed by NGO witnesses on legal grounds (sections 38 and 42 as drafted) — urgent legal advice required on this specific point</w:t>
      </w:r>
    </w:p>
    <w:p w14:paraId="41F69817" w14:textId="77777777" w:rsidR="00BD71B1" w:rsidRDefault="00000000" w:rsidP="009D47C4">
      <w:pPr>
        <w:pStyle w:val="Heading3"/>
      </w:pPr>
      <w:r>
        <w:t>L5 — Forward look</w:t>
      </w:r>
    </w:p>
    <w:p w14:paraId="A000003E" w14:textId="77777777" w:rsidR="00BD71B1" w:rsidRDefault="00BD71B1">
      <w:pPr>
        <w:pStyle w:val="ListParagraph"/>
        <w:ind w:left="454" w:hanging="454"/>
      </w:pPr>
      <w:r>
        <w:t xml:space="preserve">1.  Samuel is likely to be invited to provide a supplementary submission and may reappear at a subsequent hearing</w:t>
      </w:r>
    </w:p>
    <w:p w14:paraId="A000003F" w14:textId="77777777" w:rsidR="00BD71B1" w:rsidRDefault="00BD71B1">
      <w:pPr>
        <w:pStyle w:val="ListParagraph"/>
        <w:ind w:left="454" w:hanging="454"/>
      </w:pPr>
      <w:r>
        <w:t xml:space="preserve">2.  His position — supportive of the reform architecture but not current text — gives committee members a credible basis for recommending amendments without defeating the bills</w:t>
      </w:r>
    </w:p>
    <w:p w14:paraId="A0000040" w14:textId="77777777" w:rsidR="00BD71B1" w:rsidRDefault="00BD71B1">
      <w:pPr>
        <w:pStyle w:val="ListParagraph"/>
        <w:ind w:left="454" w:hanging="454"/>
      </w:pPr>
      <w:r>
        <w:t xml:space="preserve">3.  This framing is the most likely vehicle for a bipartisan recommendation on the national interest exemption</w:t>
      </w:r>
    </w:p>
    <w:p w14:paraId="A0000041" w14:textId="77777777" w:rsidR="00BD71B1" w:rsidRDefault="00BD71B1">
      <w:pPr>
        <w:pStyle w:val="ListParagraph"/>
        <w:ind w:left="454" w:hanging="454"/>
      </w:pPr>
      <w:r>
        <w:t xml:space="preserve">4.  DCCEEW should monitor for any supplementary submission and prepare responses to each of Samuel's specific objections</w:t>
      </w:r>
    </w:p>
    <w:p w14:paraId="646E9D95" w14:textId="4AA8C483" w:rsidR="009D47C4" w:rsidRDefault="009D47C4" w:rsidP="009D47C4">
      <w:pPr>
        <w:pStyle w:val="Heading2"/>
      </w:pPr>
      <w:r>
        <w:t xml:space="preserve">Section </w:t>
      </w:r>
      <w:r>
        <w:t>2</w:t>
      </w:r>
      <w:r>
        <w:t>:</w:t>
      </w:r>
      <w:r>
        <w:t> </w:t>
      </w:r>
      <w:r>
        <w:t>Conservation NGO bloc — WWF, Greenpeace, ACF</w:t>
      </w:r>
    </w:p>
    <w:tbl>
      <w:tblPr>
        <w:tblStyle w:val="TableGrid"/>
        <w:tblW w:w="0" w:type="auto"/>
        <w:tblBorders>
          <w:top w:val="single" w:sz="2" w:space="0" w:color="auto"/>
          <w:left w:val="none" w:sz="0" w:space="0" w:color="auto"/>
          <w:bottom w:val="single" w:sz="2" w:space="0" w:color="auto"/>
          <w:right w:val="none" w:sz="0" w:space="0" w:color="auto"/>
          <w:insideH w:val="dotted" w:sz="4" w:space="0" w:color="auto"/>
          <w:insideV w:val="none" w:sz="0" w:space="0" w:color="auto"/>
        </w:tblBorders>
        <w:tblLook w:val="04A0" w:firstRow="1" w:lastRow="0" w:firstColumn="1" w:lastColumn="0" w:noHBand="0" w:noVBand="1"/>
      </w:tblPr>
      <w:tblGrid>
        <w:gridCol w:w="1701"/>
        <w:gridCol w:w="7927"/>
      </w:tblGrid>
      <w:tr w:rsidR="009D47C4" w:rsidRPr="006741AA" w14:paraId="2A0E671C" w14:textId="77777777" w:rsidTr="00C654E5">
        <w:tc>
          <w:tcPr>
            <w:tcW w:w="1701" w:type="dxa"/>
          </w:tcPr>
          <w:p w14:paraId="02A05159" w14:textId="77777777" w:rsidR="009D47C4" w:rsidRPr="006741AA" w:rsidRDefault="009D47C4" w:rsidP="00C654E5">
            <w:pPr>
              <w:pStyle w:val="TableText"/>
              <w:rPr>
                <w:rFonts w:ascii="Aptos SemiBold" w:hAnsi="Aptos SemiBold"/>
              </w:rPr>
            </w:pPr>
            <w:r>
              <w:rPr>
                <w:rFonts w:ascii="Aptos SemiBold" w:hAnsi="Aptos SemiBold"/>
              </w:rPr>
              <w:t>Hansard pages</w:t>
            </w:r>
          </w:p>
        </w:tc>
        <w:tc>
          <w:tcPr>
            <w:tcW w:w="7927" w:type="dxa"/>
          </w:tcPr>
          <w:p w14:paraId="5B5D6C3E" w14:textId="77777777" w:rsidR="009D47C4" w:rsidRPr="006741AA" w:rsidRDefault="009D47C4" w:rsidP="00C654E5">
            <w:pPr>
              <w:pStyle w:val="TableText"/>
            </w:pPr>
            <w:r w:rsidRPr="006741AA">
              <w:t>[</w:t>
            </w:r>
            <w:r>
              <w:t>pp. 12 – 32 (approx.)</w:t>
            </w:r>
            <w:r w:rsidRPr="006741AA">
              <w:t>]</w:t>
            </w:r>
          </w:p>
        </w:tc>
      </w:tr>
      <w:tr w:rsidR="009D47C4" w:rsidRPr="006741AA" w14:paraId="13A9F41A" w14:textId="77777777" w:rsidTr="00C654E5">
        <w:tc>
          <w:tcPr>
            <w:tcW w:w="1701" w:type="dxa"/>
          </w:tcPr>
          <w:p w14:paraId="05966CD3" w14:textId="77777777" w:rsidR="009D47C4" w:rsidRPr="006741AA" w:rsidRDefault="009D47C4" w:rsidP="00C654E5">
            <w:pPr>
              <w:pStyle w:val="TableText"/>
              <w:rPr>
                <w:rFonts w:ascii="Aptos SemiBold" w:hAnsi="Aptos SemiBold"/>
              </w:rPr>
            </w:pPr>
            <w:r>
              <w:rPr>
                <w:rFonts w:ascii="Aptos SemiBold" w:hAnsi="Aptos SemiBold"/>
              </w:rPr>
              <w:t>Witnesses</w:t>
            </w:r>
          </w:p>
        </w:tc>
        <w:tc>
          <w:tcPr>
            <w:tcW w:w="7927" w:type="dxa"/>
          </w:tcPr>
          <w:p w14:paraId="76D99159" w14:textId="77777777" w:rsidR="009D47C4" w:rsidRPr="006741AA" w:rsidRDefault="009D47C4" w:rsidP="00C654E5">
            <w:pPr>
              <w:pStyle w:val="TableText"/>
            </w:pPr>
            <w:r>
              <w:t>Nicole Forrester (Chief Regenerative Officer, WWF Australia); Eleanor (Elle) Lawless (Senior Nature Campaigner, Greenpeace Australia Pacific); David Ritter (CEO, Greenpeace Australia Pacific); Kelly O'Shanassy (CEO, Australian Conservation Foundation); Brendan Sydes (National Biodiversity Policy Adviser, ACF)</w:t>
            </w:r>
          </w:p>
        </w:tc>
      </w:tr>
    </w:tbl>
    <w:p w14:paraId="7A064B27" w14:textId="77777777" w:rsidR="009D47C4" w:rsidRPr="009D47C4" w:rsidRDefault="009D47C4" w:rsidP="009D47C4">
      <w:pPr>
        <w:pStyle w:val="Heading3"/>
      </w:pPr>
      <w:r w:rsidRPr="009D47C4">
        <w:t>L1 — The record</w:t>
      </w:r>
    </w:p>
    <w:p w14:paraId="A000000C" w14:textId="77777777" w:rsidR="00BD71B1" w:rsidRDefault="00BD71B1">
      <w:pPr>
        <w:pStyle w:val="ListParagraph"/>
        <w:ind w:left="454" w:hanging="454"/>
      </w:pPr>
      <w:r>
        <w:t xml:space="preserve">1.  WWF Australia, Greenpeace Australia Pacific, and Australian Conservation Foundation appeared jointly</w:t>
      </w:r>
    </w:p>
    <w:p w14:paraId="A000000D" w14:textId="77777777" w:rsidR="00BD71B1" w:rsidRDefault="00BD71B1">
      <w:pPr>
        <w:pStyle w:val="ListParagraph"/>
        <w:ind w:left="454" w:hanging="454"/>
      </w:pPr>
      <w:r>
        <w:t xml:space="preserve">2.  Questioned by Senators Hanson-Young, Grogan, Pocock, Henderson, and Ananda-Rajah</w:t>
      </w:r>
    </w:p>
    <w:p w14:paraId="A000000E" w14:textId="77777777" w:rsidR="00BD71B1" w:rsidRDefault="00BD71B1">
      <w:pPr>
        <w:pStyle w:val="ListParagraph"/>
        <w:ind w:left="454" w:hanging="454"/>
      </w:pPr>
      <w:r>
        <w:t xml:space="preserve">3.  Key topics covered:</w:t>
      </w:r>
    </w:p>
    <w:p w14:paraId="A000000F" w14:textId="77777777" w:rsidR="00BD71B1" w:rsidRDefault="00BD71B1">
      <w:pPr>
        <w:pStyle w:val="ListParagraph"/>
        <w:ind w:left="908" w:hanging="454"/>
      </w:pPr>
      <w:r>
        <w:t xml:space="preserve">a.  Legal effect of sections 38 and 42 on RFA-covered forests</w:t>
      </w:r>
    </w:p>
    <w:p w14:paraId="A0000010" w14:textId="77777777" w:rsidR="00BD71B1" w:rsidRDefault="00BD71B1">
      <w:pPr>
        <w:pStyle w:val="ListParagraph"/>
        <w:ind w:left="908" w:hanging="454"/>
      </w:pPr>
      <w:r>
        <w:t xml:space="preserve">b.  Continuous use exemption and GBR catchment land clearing data</w:t>
      </w:r>
    </w:p>
    <w:p w14:paraId="A0000011" w14:textId="77777777" w:rsidR="00BD71B1" w:rsidRDefault="00BD71B1">
      <w:pPr>
        <w:pStyle w:val="ListParagraph"/>
        <w:ind w:left="908" w:hanging="454"/>
      </w:pPr>
      <w:r>
        <w:t xml:space="preserve">c.  Absence of a climate trigger</w:t>
      </w:r>
    </w:p>
    <w:p w14:paraId="A0000012" w14:textId="77777777" w:rsidR="00BD71B1" w:rsidRDefault="00BD71B1">
      <w:pPr>
        <w:pStyle w:val="ListParagraph"/>
        <w:ind w:left="908" w:hanging="454"/>
      </w:pPr>
      <w:r>
        <w:t xml:space="preserve">d.  National interest exemption scope and eligibility</w:t>
      </w:r>
    </w:p>
    <w:p w14:paraId="A0000013" w14:textId="77777777" w:rsidR="00BD71B1" w:rsidRDefault="00BD71B1">
      <w:pPr>
        <w:pStyle w:val="ListParagraph"/>
        <w:ind w:left="908" w:hanging="454"/>
      </w:pPr>
      <w:r>
        <w:t xml:space="preserve">e.  Offset scheme and restoration contribution fund ('pay to destroy')</w:t>
      </w:r>
    </w:p>
    <w:p w14:paraId="A0000014" w14:textId="77777777" w:rsidR="00BD71B1" w:rsidRDefault="00BD71B1">
      <w:pPr>
        <w:pStyle w:val="ListParagraph"/>
        <w:ind w:left="454" w:hanging="454"/>
      </w:pPr>
      <w:r>
        <w:t xml:space="preserve">4.  O'Shanassy tabled written materials; no other documents formally tabled</w:t>
      </w:r>
    </w:p>
    <w:p w14:paraId="A0000015" w14:textId="77777777" w:rsidR="00BD71B1" w:rsidRDefault="00BD71B1">
      <w:pPr>
        <w:pStyle w:val="ListParagraph"/>
        <w:ind w:left="454" w:hanging="454"/>
      </w:pPr>
      <w:r>
        <w:t xml:space="preserve">5.  Ritter (Greenpeace CEO) used the 'bath metaphor': 'Have you ever tried to have a bath where the bath is 95 per cent complete but the plug is not in?'</w:t>
      </w:r>
    </w:p>
    <w:p w14:paraId="280B3566" w14:textId="77777777" w:rsidR="009D47C4" w:rsidRDefault="009D47C4" w:rsidP="009D47C4">
      <w:pPr>
        <w:pStyle w:val="Heading3"/>
      </w:pPr>
      <w:r>
        <w:t>L2 — Legislative and policy signal</w:t>
      </w:r>
    </w:p>
    <w:p w14:paraId="A0000020" w14:textId="77777777" w:rsidR="00BD71B1" w:rsidRDefault="00BD71B1">
      <w:pPr>
        <w:pStyle w:val="ListParagraph"/>
        <w:ind w:left="454" w:hanging="454"/>
      </w:pPr>
      <w:r>
        <w:t xml:space="preserve">1.  RFA exemption (sections 38 and 42) — NGOs argued NES would not legally govern RFA-covered activities; sections 38 and 42 as drafted preserve the existing EPBC exemption structure without requiring NES compliance; this is a material legal dispute unresolved in DCCEEW's public position</w:t>
      </w:r>
    </w:p>
    <w:p w14:paraId="A0000021" w14:textId="77777777" w:rsidR="00BD71B1" w:rsidRDefault="00BD71B1">
      <w:pPr>
        <w:pStyle w:val="ListParagraph"/>
        <w:ind w:left="454" w:hanging="454"/>
      </w:pPr>
      <w:r>
        <w:t xml:space="preserve">2.  Continuous use exemption — NGOs cited 500,000 hectares cleared in the GBR catchment (2019-20 and 2022-23), arguing the exemption enables direct threats to reef water quality at scale; DCCEEW has no public response to this specific data</w:t>
      </w:r>
    </w:p>
    <w:p w14:paraId="A0000022" w14:textId="77777777" w:rsidR="00BD71B1" w:rsidRDefault="00BD71B1">
      <w:pPr>
        <w:pStyle w:val="ListParagraph"/>
        <w:ind w:left="454" w:hanging="454"/>
      </w:pPr>
      <w:r>
        <w:t xml:space="preserve">3.  Climate trigger — all three organisations characterised its absence as disqualifying; O'Shanassy: 'Environment law in 2025 that doesn't refer to climate change and climate damage is not fit for purpose'</w:t>
      </w:r>
    </w:p>
    <w:p w14:paraId="A0000023" w14:textId="77777777" w:rsidR="00BD71B1" w:rsidRDefault="00BD71B1">
      <w:pPr>
        <w:pStyle w:val="ListParagraph"/>
        <w:ind w:left="454" w:hanging="454"/>
      </w:pPr>
      <w:r>
        <w:t xml:space="preserve">4.  National interest exemption — NGOs argued fossil fuel projects should never be eligible; contrasts with DCCEEW's position that all project types are eligible but subject to full assessment before the exemption applies to any residual element</w:t>
      </w:r>
    </w:p>
    <w:p w14:paraId="A0000024" w14:textId="77777777" w:rsidR="00BD71B1" w:rsidRDefault="00BD71B1">
      <w:pPr>
        <w:pStyle w:val="ListParagraph"/>
        <w:ind w:left="454" w:hanging="454"/>
      </w:pPr>
      <w:r>
        <w:t xml:space="preserve">5.  Offset scheme — characterised the restoration contribution fund as 'pay to destroy'; cited NSW (Ken Henry review) as a failed precedent: most offsets channelled through the fund, risk transferred to taxpayers, and suitable replacement land rarely found</w:t>
      </w:r>
    </w:p>
    <w:p w14:paraId="60CED77A" w14:textId="77777777" w:rsidR="009D47C4" w:rsidRDefault="009D47C4" w:rsidP="009D47C4">
      <w:pPr>
        <w:pStyle w:val="Heading3"/>
      </w:pPr>
      <w:r>
        <w:t>L3 — Political intelligence</w:t>
      </w:r>
    </w:p>
    <w:p w14:paraId="A000002F" w14:textId="77777777" w:rsidR="00BD71B1" w:rsidRDefault="00BD71B1">
      <w:pPr>
        <w:pStyle w:val="ListParagraph"/>
        <w:ind w:left="454" w:hanging="454"/>
      </w:pPr>
      <w:r>
        <w:t xml:space="preserve">1.  Senator Hanson-Young used the session to build a formal evidentiary record for Greens amendments on all three exemptions and the climate trigger; questioning was precise and drew on legal advice briefed to her office in advance</w:t>
      </w:r>
    </w:p>
    <w:p w14:paraId="A0000030" w14:textId="77777777" w:rsidR="00BD71B1" w:rsidRDefault="00BD71B1">
      <w:pPr>
        <w:pStyle w:val="ListParagraph"/>
        <w:ind w:left="454" w:hanging="454"/>
      </w:pPr>
      <w:r>
        <w:t xml:space="preserve">2.  Senator Grogan pushed back on NGOs — pressing them to acknowledge positive bill elements; consistent with the government's strategy of positioning the bills as the best achievable outcome after five years</w:t>
      </w:r>
    </w:p>
    <w:p w14:paraId="A0000031" w14:textId="77777777" w:rsidR="00BD71B1" w:rsidRDefault="00BD71B1">
      <w:pPr>
        <w:pStyle w:val="ListParagraph"/>
        <w:ind w:left="454" w:hanging="454"/>
      </w:pPr>
      <w:r>
        <w:t xml:space="preserve">3.  NGOs acknowledged positive elements (unacceptable impacts definitions, critical habitat, EPA, penalties) while sustaining core objections</w:t>
      </w:r>
    </w:p>
    <w:p w14:paraId="A0000032" w14:textId="77777777" w:rsidR="00BD71B1" w:rsidRDefault="00BD71B1">
      <w:pPr>
        <w:pStyle w:val="ListParagraph"/>
        <w:ind w:left="454" w:hanging="454"/>
      </w:pPr>
      <w:r>
        <w:t xml:space="preserve">4.  The joint appearance of three major NGOs presenting coordinated legal and policy arguments signals coalition discipline that will sustain throughout the inquiry</w:t>
      </w:r>
    </w:p>
    <w:p w14:paraId="37F158A4" w14:textId="77777777" w:rsidR="009D47C4" w:rsidRDefault="009D47C4" w:rsidP="009D47C4">
      <w:pPr>
        <w:pStyle w:val="Heading3"/>
      </w:pPr>
      <w:r>
        <w:t>L4 — Risk and exposure</w:t>
      </w:r>
    </w:p>
    <w:p w14:paraId="A0000039" w14:textId="77777777" w:rsidR="00BD71B1" w:rsidRDefault="00BD71B1">
      <w:pPr>
        <w:pStyle w:val="ListParagraph"/>
        <w:ind w:left="454" w:hanging="454"/>
      </w:pPr>
      <w:r>
        <w:t xml:space="preserve">1.  No formal questions on notice placed in this session</w:t>
      </w:r>
    </w:p>
    <w:p w14:paraId="A000003A" w14:textId="77777777" w:rsidR="00BD71B1" w:rsidRDefault="00BD71B1">
      <w:pPr>
        <w:pStyle w:val="ListParagraph"/>
        <w:ind w:left="454" w:hanging="454"/>
      </w:pPr>
      <w:r>
        <w:t xml:space="preserve">2.  Exposure: legal dispute on sections 38 and 42 is unresolved on the public record — if committee asks DCCEEW to clarify whether NES applies to RFA-covered activities, the department needs a definitive legal position; treat as priority</w:t>
      </w:r>
    </w:p>
    <w:p w14:paraId="A000003B" w14:textId="77777777" w:rsidR="00BD71B1" w:rsidRDefault="00BD71B1">
      <w:pPr>
        <w:pStyle w:val="ListParagraph"/>
        <w:ind w:left="454" w:hanging="454"/>
      </w:pPr>
      <w:r>
        <w:t xml:space="preserve">3.  Exposure: 500,000 hectare GBR catchment land clearing data was cited without challenge — DCCEEW should verify this figure and prepare a response to the continuous use exemption argument</w:t>
      </w:r>
    </w:p>
    <w:p w14:paraId="465FA24E" w14:textId="77777777" w:rsidR="009D47C4" w:rsidRDefault="009D47C4" w:rsidP="009D47C4">
      <w:pPr>
        <w:pStyle w:val="Heading3"/>
      </w:pPr>
      <w:r>
        <w:t>L5 — Forward look</w:t>
      </w:r>
    </w:p>
    <w:p w14:paraId="A0000042" w14:textId="77777777" w:rsidR="00BD71B1" w:rsidRDefault="00BD71B1">
      <w:pPr>
        <w:pStyle w:val="ListParagraph"/>
        <w:ind w:left="454" w:hanging="454"/>
      </w:pPr>
      <w:r>
        <w:t xml:space="preserve">1.  NGO witnesses are likely to be called again or to provide supplementary submissions</w:t>
      </w:r>
    </w:p>
    <w:p w14:paraId="A0000043" w14:textId="77777777" w:rsidR="00BD71B1" w:rsidRDefault="00BD71B1">
      <w:pPr>
        <w:pStyle w:val="ListParagraph"/>
        <w:ind w:left="454" w:hanging="454"/>
      </w:pPr>
      <w:r>
        <w:t xml:space="preserve">2.  The legal dispute on sections 38 and 42 must be resolved before the committee reports</w:t>
      </w:r>
    </w:p>
    <w:p w14:paraId="A0000044" w14:textId="77777777" w:rsidR="00BD71B1" w:rsidRDefault="00BD71B1">
      <w:pPr>
        <w:pStyle w:val="ListParagraph"/>
        <w:ind w:left="454" w:hanging="454"/>
      </w:pPr>
      <w:r>
        <w:t xml:space="preserve">3.  The climate trigger is the most politically charged issue: without Greens support, passage is uncertain</w:t>
      </w:r>
    </w:p>
    <w:p w14:paraId="A0000045" w14:textId="77777777" w:rsidR="00BD71B1" w:rsidRDefault="00BD71B1">
      <w:pPr>
        <w:pStyle w:val="ListParagraph"/>
        <w:ind w:left="454" w:hanging="454"/>
      </w:pPr>
      <w:r>
        <w:t xml:space="preserve">4.  DCCEEW should prepare a clear explanation of:</w:t>
      </w:r>
    </w:p>
    <w:p w14:paraId="A0000046" w14:textId="77777777" w:rsidR="00BD71B1" w:rsidRDefault="00BD71B1">
      <w:pPr>
        <w:pStyle w:val="ListParagraph"/>
        <w:ind w:left="908" w:hanging="454"/>
      </w:pPr>
      <w:r>
        <w:t xml:space="preserve">a.  Why a climate trigger was not included</w:t>
      </w:r>
    </w:p>
    <w:p w14:paraId="A0000047" w14:textId="77777777" w:rsidR="00BD71B1" w:rsidRDefault="00BD71B1">
      <w:pPr>
        <w:pStyle w:val="ListParagraph"/>
        <w:ind w:left="908" w:hanging="454"/>
      </w:pPr>
      <w:r>
        <w:t xml:space="preserve">b.  What the emissions disclosure provisions achieve in its place</w:t>
      </w:r>
    </w:p>
    <w:p w14:paraId="A0000048" w14:textId="77777777" w:rsidR="00BD71B1" w:rsidRDefault="00BD71B1">
      <w:pPr>
        <w:pStyle w:val="ListParagraph"/>
        <w:ind w:left="908" w:hanging="454"/>
      </w:pPr>
      <w:r>
        <w:t xml:space="preserve">c.  Whether any modification could address Greens' concerns without reopening the climate policy architecture</w:t>
      </w:r>
    </w:p>
    <w:p w14:paraId="4787A1B8" w14:textId="6388139B" w:rsidR="009D47C4" w:rsidRDefault="009D47C4" w:rsidP="009D47C4">
      <w:pPr>
        <w:pStyle w:val="Heading2"/>
      </w:pPr>
      <w:r>
        <w:t xml:space="preserve">Section </w:t>
      </w:r>
      <w:r>
        <w:t>3</w:t>
      </w:r>
      <w:r>
        <w:t>:</w:t>
      </w:r>
      <w:r>
        <w:t> </w:t>
      </w:r>
      <w:r>
        <w:t>Clean energy sector — CEC, Smart Energy Council</w:t>
      </w:r>
    </w:p>
    <w:tbl>
      <w:tblPr>
        <w:tblStyle w:val="TableGrid"/>
        <w:tblW w:w="0" w:type="auto"/>
        <w:tblBorders>
          <w:top w:val="single" w:sz="2" w:space="0" w:color="auto"/>
          <w:left w:val="none" w:sz="0" w:space="0" w:color="auto"/>
          <w:bottom w:val="single" w:sz="2" w:space="0" w:color="auto"/>
          <w:right w:val="none" w:sz="0" w:space="0" w:color="auto"/>
          <w:insideH w:val="dotted" w:sz="4" w:space="0" w:color="auto"/>
          <w:insideV w:val="none" w:sz="0" w:space="0" w:color="auto"/>
        </w:tblBorders>
        <w:tblLook w:val="04A0" w:firstRow="1" w:lastRow="0" w:firstColumn="1" w:lastColumn="0" w:noHBand="0" w:noVBand="1"/>
      </w:tblPr>
      <w:tblGrid>
        <w:gridCol w:w="1701"/>
        <w:gridCol w:w="7927"/>
      </w:tblGrid>
      <w:tr w:rsidR="009D47C4" w:rsidRPr="006741AA" w14:paraId="20FE43A5" w14:textId="77777777" w:rsidTr="00C654E5">
        <w:tc>
          <w:tcPr>
            <w:tcW w:w="1701" w:type="dxa"/>
          </w:tcPr>
          <w:p w14:paraId="3953D84D" w14:textId="77777777" w:rsidR="009D47C4" w:rsidRPr="006741AA" w:rsidRDefault="009D47C4" w:rsidP="00C654E5">
            <w:pPr>
              <w:pStyle w:val="TableText"/>
              <w:rPr>
                <w:rFonts w:ascii="Aptos SemiBold" w:hAnsi="Aptos SemiBold"/>
              </w:rPr>
            </w:pPr>
            <w:r>
              <w:rPr>
                <w:rFonts w:ascii="Aptos SemiBold" w:hAnsi="Aptos SemiBold"/>
              </w:rPr>
              <w:t>Hansard pages</w:t>
            </w:r>
          </w:p>
        </w:tc>
        <w:tc>
          <w:tcPr>
            <w:tcW w:w="7927" w:type="dxa"/>
          </w:tcPr>
          <w:p w14:paraId="609DCE3F" w14:textId="77777777" w:rsidR="009D47C4" w:rsidRPr="006741AA" w:rsidRDefault="009D47C4" w:rsidP="00C654E5">
            <w:pPr>
              <w:pStyle w:val="TableText"/>
            </w:pPr>
            <w:r w:rsidRPr="006741AA">
              <w:t>[</w:t>
            </w:r>
            <w:r>
              <w:t>pp. 24 – 32 (approx.)</w:t>
            </w:r>
            <w:r w:rsidRPr="006741AA">
              <w:t>]</w:t>
            </w:r>
          </w:p>
        </w:tc>
      </w:tr>
      <w:tr w:rsidR="009D47C4" w:rsidRPr="006741AA" w14:paraId="36ED2DB9" w14:textId="77777777" w:rsidTr="00C654E5">
        <w:tc>
          <w:tcPr>
            <w:tcW w:w="1701" w:type="dxa"/>
          </w:tcPr>
          <w:p w14:paraId="5575D4FA" w14:textId="77777777" w:rsidR="009D47C4" w:rsidRPr="006741AA" w:rsidRDefault="009D47C4" w:rsidP="00C654E5">
            <w:pPr>
              <w:pStyle w:val="TableText"/>
              <w:rPr>
                <w:rFonts w:ascii="Aptos SemiBold" w:hAnsi="Aptos SemiBold"/>
              </w:rPr>
            </w:pPr>
            <w:r>
              <w:rPr>
                <w:rFonts w:ascii="Aptos SemiBold" w:hAnsi="Aptos SemiBold"/>
              </w:rPr>
              <w:t>Witnesses</w:t>
            </w:r>
          </w:p>
        </w:tc>
        <w:tc>
          <w:tcPr>
            <w:tcW w:w="7927" w:type="dxa"/>
          </w:tcPr>
          <w:p w14:paraId="247851F7" w14:textId="77777777" w:rsidR="009D47C4" w:rsidRPr="006741AA" w:rsidRDefault="009D47C4" w:rsidP="00C654E5">
            <w:pPr>
              <w:pStyle w:val="TableText"/>
            </w:pPr>
            <w:r>
              <w:t>William Churchill (Chief Policy and Impact Officer, Clean Energy Council) — by video link; David McElrea (Chief Advocacy Officer, Smart Energy Council) — by video link</w:t>
            </w:r>
          </w:p>
        </w:tc>
      </w:tr>
    </w:tbl>
    <w:p w14:paraId="43FFE680" w14:textId="77777777" w:rsidR="009D47C4" w:rsidRPr="009D47C4" w:rsidRDefault="009D47C4" w:rsidP="009D47C4">
      <w:pPr>
        <w:pStyle w:val="Heading3"/>
      </w:pPr>
      <w:r w:rsidRPr="009D47C4">
        <w:t>L1 — The record</w:t>
      </w:r>
    </w:p>
    <w:p w14:paraId="A0000016" w14:textId="77777777" w:rsidR="00BD71B1" w:rsidRDefault="00BD71B1">
      <w:pPr>
        <w:pStyle w:val="ListParagraph"/>
        <w:ind w:left="454" w:hanging="454"/>
      </w:pPr>
      <w:r>
        <w:t xml:space="preserve">1.  CEC and Smart Energy Council appeared jointly, both by video link</w:t>
      </w:r>
    </w:p>
    <w:p w14:paraId="A0000017" w14:textId="77777777" w:rsidR="00BD71B1" w:rsidRDefault="00BD71B1">
      <w:pPr>
        <w:pStyle w:val="ListParagraph"/>
        <w:ind w:left="454" w:hanging="454"/>
      </w:pPr>
      <w:r>
        <w:t xml:space="preserve">2.  Questioned primarily by Senators Grogan and Ananda-Rajah</w:t>
      </w:r>
    </w:p>
    <w:p w14:paraId="A0000018" w14:textId="77777777" w:rsidR="00BD71B1" w:rsidRDefault="00BD71B1">
      <w:pPr>
        <w:pStyle w:val="ListParagraph"/>
        <w:ind w:left="454" w:hanging="454"/>
      </w:pPr>
      <w:r>
        <w:t xml:space="preserve">3.  Topics covered: urgency of regulatory reform for the energy transition; offset framework; restoration contribution fund; bioregional planning; strategic assessment pathways</w:t>
      </w:r>
    </w:p>
    <w:p w14:paraId="A0000019" w14:textId="77777777" w:rsidR="00BD71B1" w:rsidRDefault="00BD71B1">
      <w:pPr>
        <w:pStyle w:val="ListParagraph"/>
        <w:ind w:left="454" w:hanging="454"/>
      </w:pPr>
      <w:r>
        <w:t xml:space="preserve">4.  No documents tabled; both witnesses reserved the right to provide further clarification following consultation with members</w:t>
      </w:r>
    </w:p>
    <w:p w14:paraId="23A32264" w14:textId="77777777" w:rsidR="009D47C4" w:rsidRDefault="009D47C4" w:rsidP="009D47C4">
      <w:pPr>
        <w:pStyle w:val="Heading3"/>
      </w:pPr>
      <w:r>
        <w:t>L2 — Legislative and policy signal</w:t>
      </w:r>
    </w:p>
    <w:p w14:paraId="A0000025" w14:textId="77777777" w:rsidR="00BD71B1" w:rsidRDefault="00BD71B1">
      <w:pPr>
        <w:pStyle w:val="ListParagraph"/>
        <w:ind w:left="454" w:hanging="454"/>
      </w:pPr>
      <w:r>
        <w:t xml:space="preserve">1.  Standards — both organisations described creation of NES as 'incredibly important'; provides on-the-record industry endorsement consistent with DCCEEW's public position</w:t>
      </w:r>
    </w:p>
    <w:p w14:paraId="A0000026" w14:textId="77777777" w:rsidR="00BD71B1" w:rsidRDefault="00BD71B1">
      <w:pPr>
        <w:pStyle w:val="ListParagraph"/>
        <w:ind w:left="454" w:hanging="454"/>
      </w:pPr>
      <w:r>
        <w:t xml:space="preserve">2.  Offset framework — both strongly supported the restoration contribution fund as enabling landscape-scale restoration and allowing proponents to discharge obligations without managing projects directly; directly counters the NGO 'pay to destroy' critique; DCCEEW can cite in subsequent committee responses</w:t>
      </w:r>
    </w:p>
    <w:p w14:paraId="A0000027" w14:textId="77777777" w:rsidR="00BD71B1" w:rsidRDefault="00BD71B1">
      <w:pPr>
        <w:pStyle w:val="ListParagraph"/>
        <w:ind w:left="454" w:hanging="454"/>
      </w:pPr>
      <w:r>
        <w:t xml:space="preserve">3.  Bioregional planning and bilateral/strategic assessments — supported as reducing duplication for renewable energy projects</w:t>
      </w:r>
    </w:p>
    <w:p w14:paraId="A0000028" w14:textId="77777777" w:rsidR="00BD71B1" w:rsidRDefault="00BD71B1">
      <w:pPr>
        <w:pStyle w:val="ListParagraph"/>
        <w:ind w:left="454" w:hanging="454"/>
      </w:pPr>
      <w:r>
        <w:t xml:space="preserve">4.  Urgency framing — 'We are in a race against time. Every month of delay pushes us further from achieving energy security, emissions reduction, and lower power bills'</w:t>
      </w:r>
    </w:p>
    <w:p w14:paraId="593E9730" w14:textId="77777777" w:rsidR="009D47C4" w:rsidRDefault="009D47C4" w:rsidP="009D47C4">
      <w:pPr>
        <w:pStyle w:val="Heading3"/>
      </w:pPr>
      <w:r>
        <w:t>L3 — Political intelligence</w:t>
      </w:r>
    </w:p>
    <w:p w14:paraId="A0000033" w14:textId="77777777" w:rsidR="00BD71B1" w:rsidRDefault="00BD71B1">
      <w:pPr>
        <w:pStyle w:val="ListParagraph"/>
        <w:ind w:left="454" w:hanging="454"/>
      </w:pPr>
      <w:r>
        <w:t xml:space="preserve">1.  Political dynamics: low signal in this section — evidence was broadly supportive and did not generate contested exchanges</w:t>
      </w:r>
    </w:p>
    <w:p w14:paraId="A0000034" w14:textId="77777777" w:rsidR="00BD71B1" w:rsidRDefault="00BD71B1">
      <w:pPr>
        <w:pStyle w:val="ListParagraph"/>
        <w:ind w:left="454" w:hanging="454"/>
      </w:pPr>
      <w:r>
        <w:t xml:space="preserve">2.  Government senators used the session to establish on-the-record support from a major economic sector</w:t>
      </w:r>
    </w:p>
    <w:p w14:paraId="A0000035" w14:textId="77777777" w:rsidR="00BD71B1" w:rsidRDefault="00BD71B1">
      <w:pPr>
        <w:pStyle w:val="ListParagraph"/>
        <w:ind w:left="454" w:hanging="454"/>
      </w:pPr>
      <w:r>
        <w:t xml:space="preserve">3.  No adversarial questioning from any senator</w:t>
      </w:r>
    </w:p>
    <w:p w14:paraId="5DD749FC" w14:textId="77777777" w:rsidR="009D47C4" w:rsidRDefault="009D47C4" w:rsidP="009D47C4">
      <w:pPr>
        <w:pStyle w:val="Heading3"/>
      </w:pPr>
      <w:r>
        <w:t>L4 — Risk and exposure</w:t>
      </w:r>
    </w:p>
    <w:p w14:paraId="A000003C" w14:textId="77777777" w:rsidR="00BD71B1" w:rsidRDefault="00BD71B1">
      <w:pPr>
        <w:pStyle w:val="ListParagraph"/>
        <w:ind w:left="454" w:hanging="454"/>
      </w:pPr>
      <w:r>
        <w:t xml:space="preserve">1.  No questions on notice placed; no DCCEEW exposure points identified in this session</w:t>
      </w:r>
    </w:p>
    <w:p w14:paraId="A000003D" w14:textId="77777777" w:rsidR="00BD71B1" w:rsidRDefault="00BD71B1">
      <w:pPr>
        <w:pStyle w:val="ListParagraph"/>
        <w:ind w:left="454" w:hanging="454"/>
      </w:pPr>
      <w:r>
        <w:t xml:space="preserve">2.  Note: both witnesses reserved the right to clarify after member consultation — if CEC or SEC subsequently lodges a more qualified supplementary submission, this would represent a shift worth monitoring</w:t>
      </w:r>
    </w:p>
    <w:p w14:paraId="1A79EAEF" w14:textId="77777777" w:rsidR="009D47C4" w:rsidRDefault="009D47C4" w:rsidP="009D47C4">
      <w:pPr>
        <w:pStyle w:val="Heading3"/>
      </w:pPr>
      <w:r>
        <w:t>L5 — Forward look</w:t>
      </w:r>
    </w:p>
    <w:p w14:paraId="A0000049" w14:textId="77777777" w:rsidR="00BD71B1" w:rsidRDefault="00BD71B1">
      <w:pPr>
        <w:pStyle w:val="ListParagraph"/>
        <w:ind w:left="454" w:hanging="454"/>
      </w:pPr>
      <w:r>
        <w:t xml:space="preserve">1.  Clean energy sector likely to be an active voice during Senate debate on the bills</w:t>
      </w:r>
    </w:p>
    <w:p w14:paraId="A000004A" w14:textId="77777777" w:rsidR="00BD71B1" w:rsidRDefault="00BD71B1">
      <w:pPr>
        <w:pStyle w:val="ListParagraph"/>
        <w:ind w:left="454" w:hanging="454"/>
      </w:pPr>
      <w:r>
        <w:t xml:space="preserve">2.  Support for the restoration contribution fund is the most useful counter-narrative to the NGO 'pay to destroy' critique</w:t>
      </w:r>
    </w:p>
    <w:p w14:paraId="A000004B" w14:textId="77777777" w:rsidR="00BD71B1" w:rsidRDefault="00BD71B1">
      <w:pPr>
        <w:pStyle w:val="ListParagraph"/>
        <w:ind w:left="454" w:hanging="454"/>
      </w:pPr>
      <w:r>
        <w:t xml:space="preserve">3.  Consider referencing CEC/SEC evidence in subsequent ministerial materials</w:t>
      </w:r>
    </w:p>
    <w:p w14:paraId="A000004C" w14:textId="77777777" w:rsidR="00BD71B1" w:rsidRDefault="00BD71B1">
      <w:pPr>
        <w:pStyle w:val="ListParagraph"/>
        <w:ind w:left="454" w:hanging="454"/>
      </w:pPr>
      <w:r>
        <w:t xml:space="preserve">4.  The urgency framing ('race against time') may be useful in political messaging around the passage timeline</w:t>
      </w:r>
    </w:p>
    <w:p w14:paraId="1DFD4E3E" w14:textId="77777777" w:rsidR="00BD71B1" w:rsidRDefault="00BD71B1" w:rsidP="002D3FA7"/>
    <w:p w14:paraId="A000004D" w14:textId="77777777" w:rsidR="009D47C4" w:rsidRDefault="009D47C4">
      <w:pPr>
        <w:pStyle w:val="Heading2"/>
      </w:pPr>
      <w:r>
        <w:t>Section 4: Biodiversity Council, Environmental Justice Australia, Wilderness Society</w:t>
      </w:r>
    </w:p>
    <w:tbl>
      <w:tblPr>
        <w:tblStyle w:val="TableGrid"/>
        <w:tblW w:w="0" w:type="auto"/>
        <w:tblBorders>
          <w:top w:val="single" w:sz="2" w:space="0" w:color="auto"/>
          <w:left w:val="none" w:sz="0" w:space="0" w:color="auto"/>
          <w:bottom w:val="single" w:sz="2" w:space="0" w:color="auto"/>
          <w:right w:val="none" w:sz="0" w:space="0" w:color="auto"/>
          <w:insideH w:val="dotted" w:sz="4" w:space="0" w:color="auto"/>
          <w:insideV w:val="none" w:sz="0" w:space="0" w:color="auto"/>
        </w:tblBorders>
        <w:tblLook w:val="04A0" w:firstRow="1" w:lastRow="0" w:firstColumn="1" w:lastColumn="0" w:noHBand="0" w:noVBand="1"/>
      </w:tblPr>
      <w:tblGrid>
        <w:gridCol w:w="1701"/>
        <w:gridCol w:w="7927"/>
      </w:tblGrid>
      <w:tr w14:paraId="A000004E" w14:textId="77777777">
        <w:tc>
          <w:tcPr>
            <w:tcW w:w="1701" w:type="dxa"/>
          </w:tcPr>
          <w:p w14:paraId="A000004F" w14:textId="77777777" w:rsidR="009D47C4" w:rsidRDefault="009D47C4" w:rsidP="00C654E5">
            <w:pPr>
              <w:pStyle w:val="TableText"/>
              <w:rPr>
                <w:rFonts w:ascii="Aptos SemiBold" w:hAnsi="Aptos SemiBold"/>
              </w:rPr>
            </w:pPr>
            <w:r>
              <w:rPr>
                <w:rFonts w:ascii="Aptos SemiBold" w:hAnsi="Aptos SemiBold"/>
              </w:rPr>
              <w:t>Hansard pages</w:t>
            </w:r>
          </w:p>
        </w:tc>
        <w:tc>
          <w:tcPr>
            <w:tcW w:w="7927" w:type="dxa"/>
          </w:tcPr>
          <w:p w14:paraId="A0000050" w14:textId="77777777" w:rsidR="009D47C4" w:rsidRDefault="009D47C4" w:rsidP="00C654E5">
            <w:pPr>
              <w:pStyle w:val="TableText"/>
            </w:pPr>
            <w:r>
              <w:t xml:space="preserve">pp. 33 – 47 (approx.)</w:t>
            </w:r>
          </w:p>
        </w:tc>
      </w:tr>
      <w:tr w14:paraId="A0000051" w14:textId="77777777">
        <w:tc>
          <w:tcPr>
            <w:tcW w:w="1701" w:type="dxa"/>
          </w:tcPr>
          <w:p w14:paraId="A0000052" w14:textId="77777777" w:rsidR="009D47C4" w:rsidRDefault="009D47C4" w:rsidP="00C654E5">
            <w:pPr>
              <w:pStyle w:val="TableText"/>
              <w:rPr>
                <w:rFonts w:ascii="Aptos SemiBold" w:hAnsi="Aptos SemiBold"/>
              </w:rPr>
            </w:pPr>
            <w:r>
              <w:rPr>
                <w:rFonts w:ascii="Aptos SemiBold" w:hAnsi="Aptos SemiBold"/>
              </w:rPr>
              <w:t>Witnesses</w:t>
            </w:r>
          </w:p>
        </w:tc>
        <w:tc>
          <w:tcPr>
            <w:tcW w:w="7927" w:type="dxa"/>
          </w:tcPr>
          <w:p w14:paraId="A0000053" w14:textId="77777777" w:rsidR="009D47C4" w:rsidRDefault="009D47C4" w:rsidP="00C654E5">
            <w:pPr>
              <w:pStyle w:val="TableText"/>
            </w:pPr>
            <w:r>
              <w:t xml:space="preserve">James Trezise (CEO, Biodiversity Council); Dr Peter Burnett (Councillor, Biodiversity Council); Prof. Brendan Wintle (Lead Councillor, Biodiversity Council) — by video link; Ellen Maybery (Senior Specialist Lawyer, EJA) — by video link; Nicola Silbert (Senior Lawyer, EJA) — by video link; Sam Szoke-Burke (Biodiversity Policy and Campaign Manager, Wilderness Society)</w:t>
            </w:r>
          </w:p>
        </w:tc>
      </w:tr>
    </w:tbl>
    <w:p w14:paraId="A0000054" w14:textId="77777777" w:rsidR="009D47C4" w:rsidRDefault="009D47C4">
      <w:pPr>
        <w:pStyle w:val="Heading3"/>
      </w:pPr>
      <w:r>
        <w:t>L1 — The record</w:t>
      </w:r>
    </w:p>
    <w:p w14:paraId="A0000055" w14:textId="77777777" w:rsidR="00BD71B1" w:rsidRDefault="00BD71B1">
      <w:pPr>
        <w:pStyle w:val="ListParagraph"/>
        <w:ind w:left="454" w:hanging="454"/>
      </w:pPr>
      <w:r>
        <w:t xml:space="preserve">1.  Biodiversity Council, Environmental Justice Australia, and Wilderness Society appeared jointly</w:t>
      </w:r>
    </w:p>
    <w:p w14:paraId="A0000056" w14:textId="77777777" w:rsidR="00BD71B1" w:rsidRDefault="00BD71B1">
      <w:pPr>
        <w:pStyle w:val="ListParagraph"/>
        <w:ind w:left="454" w:hanging="454"/>
      </w:pPr>
      <w:r>
        <w:t xml:space="preserve">2.  Questioned by Senators Hanson-Young, Pocock, Henderson, Grogan, and Ananda-Rajah</w:t>
      </w:r>
    </w:p>
    <w:p w14:paraId="A0000057" w14:textId="77777777" w:rsidR="00BD71B1" w:rsidRDefault="00BD71B1">
      <w:pPr>
        <w:pStyle w:val="ListParagraph"/>
        <w:ind w:left="454" w:hanging="454"/>
      </w:pPr>
      <w:r>
        <w:t xml:space="preserve">3.  Key topics covered:</w:t>
      </w:r>
    </w:p>
    <w:p w14:paraId="A0000058" w14:textId="77777777" w:rsidR="00BD71B1" w:rsidRDefault="00BD71B1">
      <w:pPr>
        <w:pStyle w:val="ListParagraph"/>
        <w:ind w:left="908" w:hanging="454"/>
      </w:pPr>
      <w:r>
        <w:t xml:space="preserve">a.  Offset scheme and restoration contribution fund ('like for like' test)</w:t>
      </w:r>
    </w:p>
    <w:p w14:paraId="A0000059" w14:textId="77777777" w:rsidR="00BD71B1" w:rsidRDefault="00BD71B1">
      <w:pPr>
        <w:pStyle w:val="ListParagraph"/>
        <w:ind w:left="908" w:hanging="454"/>
      </w:pPr>
      <w:r>
        <w:t xml:space="preserve">b.  RFA and continuous use exemptions</w:t>
      </w:r>
    </w:p>
    <w:p w14:paraId="A000005A" w14:textId="77777777" w:rsidR="00BD71B1" w:rsidRDefault="00BD71B1">
      <w:pPr>
        <w:pStyle w:val="ListParagraph"/>
        <w:ind w:left="908" w:hanging="454"/>
      </w:pPr>
      <w:r>
        <w:t xml:space="preserve">c.  Unacceptable impacts criteria and the 'minister satisfied' drafting test</w:t>
      </w:r>
    </w:p>
    <w:p w14:paraId="A000005B" w14:textId="77777777" w:rsidR="00BD71B1" w:rsidRDefault="00BD71B1">
      <w:pPr>
        <w:pStyle w:val="ListParagraph"/>
        <w:ind w:left="908" w:hanging="454"/>
      </w:pPr>
      <w:r>
        <w:t xml:space="preserve">d.  Coal and gas access to the streamlined assessment pathway</w:t>
      </w:r>
    </w:p>
    <w:p w14:paraId="A000005C" w14:textId="77777777" w:rsidR="00BD71B1" w:rsidRDefault="00BD71B1">
      <w:pPr>
        <w:pStyle w:val="ListParagraph"/>
        <w:ind w:left="908" w:hanging="454"/>
      </w:pPr>
      <w:r>
        <w:t xml:space="preserve">e.  Availability of simple drafting amendments to resolve identified issues</w:t>
      </w:r>
    </w:p>
    <w:p w14:paraId="A000005D" w14:textId="77777777" w:rsidR="00BD71B1" w:rsidRDefault="00BD71B1">
      <w:pPr>
        <w:pStyle w:val="ListParagraph"/>
        <w:ind w:left="454" w:hanging="454"/>
      </w:pPr>
      <w:r>
        <w:t xml:space="preserve">4.  Wintle provided evidence on the draft offset standard released 24-48 hours before the hearing — insufficient time for meaningful analysis</w:t>
      </w:r>
    </w:p>
    <w:p w14:paraId="A000005E" w14:textId="77777777" w:rsidR="00BD71B1" w:rsidRDefault="00BD71B1">
      <w:pPr>
        <w:pStyle w:val="ListParagraph"/>
        <w:ind w:left="454" w:hanging="454"/>
      </w:pPr>
      <w:r>
        <w:t xml:space="preserve">5.  Maybery (EJA) indicated that simple drafting amendments could resolve many identified issues without years of further reform</w:t>
      </w:r>
    </w:p>
    <w:p w14:paraId="A000005F" w14:textId="77777777" w:rsidR="00BD71B1" w:rsidRDefault="00BD71B1">
      <w:pPr>
        <w:pStyle w:val="ListParagraph"/>
        <w:ind w:left="454" w:hanging="454"/>
      </w:pPr>
      <w:r>
        <w:t xml:space="preserve">6.  No documents formally tabled but written materials referenced</w:t>
      </w:r>
    </w:p>
    <w:p w14:paraId="A0000060" w14:textId="77777777" w:rsidR="009D47C4" w:rsidRDefault="009D47C4">
      <w:pPr>
        <w:pStyle w:val="Heading3"/>
      </w:pPr>
      <w:r>
        <w:t>L2 — Legislative and policy signal</w:t>
      </w:r>
    </w:p>
    <w:p w14:paraId="A0000061" w14:textId="77777777" w:rsidR="00BD71B1" w:rsidRDefault="00BD71B1">
      <w:pPr>
        <w:pStyle w:val="ListParagraph"/>
        <w:ind w:left="454" w:hanging="454"/>
      </w:pPr>
      <w:r>
        <w:t xml:space="preserve">1.  Offset scheme (Wintle) — expressed significant concern about the restoration contribution fund enabling deviation from 'like for like' offsets; drew on NSW experience (most offsets channelled through pay-to-destroy because it is easier, risk transfers to taxpayers, suitable land rarely found); called for tightening the bill to require 'like for like' under all circumstances; the draft offset standard was released too late for adequate analysis</w:t>
      </w:r>
    </w:p>
    <w:p w14:paraId="A0000062" w14:textId="77777777" w:rsidR="00BD71B1" w:rsidRDefault="00BD71B1">
      <w:pPr>
        <w:pStyle w:val="ListParagraph"/>
        <w:ind w:left="454" w:hanging="454"/>
      </w:pPr>
      <w:r>
        <w:t xml:space="preserve">2.  'Minister satisfied' test — EJA identified the phrase appearing 'hundreds of times' throughout the bills, arguing it creates unlimited discretion at every decision point; this is a drafting critique with legal substance requiring a clause-level response from DCCEEW</w:t>
      </w:r>
    </w:p>
    <w:p w14:paraId="A0000063" w14:textId="77777777" w:rsidR="00BD71B1" w:rsidRDefault="00BD71B1">
      <w:pPr>
        <w:pStyle w:val="ListParagraph"/>
        <w:ind w:left="454" w:hanging="454"/>
      </w:pPr>
      <w:r>
        <w:t xml:space="preserve">3.  Coal and gas access — EJA and Wilderness Society argued coal and gas projects can access the streamlined pathway with no barrier, characterising this as 'fast-tracking' fossil fuels; DCCEEW officials confirmed this in the afternoon session but argued the streamlined pathway is not a lower standard — only a more efficient process</w:t>
      </w:r>
    </w:p>
    <w:p w14:paraId="A0000064" w14:textId="77777777" w:rsidR="00BD71B1" w:rsidRDefault="00BD71B1">
      <w:pPr>
        <w:pStyle w:val="ListParagraph"/>
        <w:ind w:left="454" w:hanging="454"/>
      </w:pPr>
      <w:r>
        <w:t xml:space="preserve">4.  Drafting amendments — Maybery stated explicitly that identified legal issues can be resolved by 'simple drafting amendments', not years of reform; this directly undermines the government's argument that addressing NGO concerns would require reopening the entire legislative package</w:t>
      </w:r>
    </w:p>
    <w:p w14:paraId="A0000065" w14:textId="77777777" w:rsidR="009D47C4" w:rsidRDefault="009D47C4">
      <w:pPr>
        <w:pStyle w:val="Heading3"/>
      </w:pPr>
      <w:r>
        <w:t>L3 — Political intelligence</w:t>
      </w:r>
    </w:p>
    <w:p w14:paraId="A0000066" w14:textId="77777777" w:rsidR="00BD71B1" w:rsidRDefault="00BD71B1">
      <w:pPr>
        <w:pStyle w:val="ListParagraph"/>
        <w:ind w:left="454" w:hanging="454"/>
      </w:pPr>
      <w:r>
        <w:t xml:space="preserve">1.  Senator Pocock's questioning on the offset scheme was the most technically sophisticated of the day — pressed Wintle on the NSW comparison and the risk transfer mechanism; suggests Pocock may pursue an amendment to the offset standard or the restoration contribution fund provision</w:t>
      </w:r>
    </w:p>
    <w:p w14:paraId="A0000067" w14:textId="77777777" w:rsidR="00BD71B1" w:rsidRDefault="00BD71B1">
      <w:pPr>
        <w:pStyle w:val="ListParagraph"/>
        <w:ind w:left="454" w:hanging="454"/>
      </w:pPr>
      <w:r>
        <w:t xml:space="preserve">2.  Senator Hanson-Young continued her pattern of using witnesses to build an evidentiary record for specific Greens amendments</w:t>
      </w:r>
    </w:p>
    <w:p w14:paraId="A0000068" w14:textId="77777777" w:rsidR="00BD71B1" w:rsidRDefault="00BD71B1">
      <w:pPr>
        <w:pStyle w:val="ListParagraph"/>
        <w:ind w:left="454" w:hanging="454"/>
      </w:pPr>
      <w:r>
        <w:t xml:space="preserve">3.  The EJA drafting amendment argument — that fixes are simple and achievable — directly undermines the government's 'five years in the making' framing</w:t>
      </w:r>
    </w:p>
    <w:p w14:paraId="A0000069" w14:textId="77777777" w:rsidR="009D47C4" w:rsidRDefault="009D47C4">
      <w:pPr>
        <w:pStyle w:val="Heading3"/>
      </w:pPr>
      <w:r>
        <w:t>L4 — Risk and exposure</w:t>
      </w:r>
    </w:p>
    <w:p w14:paraId="A000006A" w14:textId="77777777" w:rsidR="00BD71B1" w:rsidRDefault="00BD71B1">
      <w:pPr>
        <w:pStyle w:val="ListParagraph"/>
        <w:ind w:left="454" w:hanging="454"/>
      </w:pPr>
      <w:r>
        <w:t xml:space="preserve">1.  No formal questions on notice placed in this session</w:t>
      </w:r>
    </w:p>
    <w:p w14:paraId="A000006B" w14:textId="77777777" w:rsidR="00BD71B1" w:rsidRDefault="00BD71B1">
      <w:pPr>
        <w:pStyle w:val="ListParagraph"/>
        <w:ind w:left="454" w:hanging="454"/>
      </w:pPr>
      <w:r>
        <w:t xml:space="preserve">2.  Exposure: the draft offset standard was released 24-48 hours before the hearing; multiple witnesses criticised the timing as inadequate for meaningful analysis; DCCEEW needs a clear explanation if the committee asks why</w:t>
      </w:r>
    </w:p>
    <w:p w14:paraId="A000006C" w14:textId="77777777" w:rsidR="00BD71B1" w:rsidRDefault="00BD71B1">
      <w:pPr>
        <w:pStyle w:val="ListParagraph"/>
        <w:ind w:left="454" w:hanging="454"/>
      </w:pPr>
      <w:r>
        <w:t xml:space="preserve">3.  Exposure: Wintle's NSW offset scheme evidence is specific and factual — DCCEEW should verify or contest the NSW data before it becomes an unchallenged reference point in the committee report</w:t>
      </w:r>
    </w:p>
    <w:p w14:paraId="A000006D" w14:textId="77777777" w:rsidR="009D47C4" w:rsidRDefault="009D47C4">
      <w:pPr>
        <w:pStyle w:val="Heading3"/>
      </w:pPr>
      <w:r>
        <w:t>L5 — Forward look</w:t>
      </w:r>
    </w:p>
    <w:p w14:paraId="A000006E" w14:textId="77777777" w:rsidR="00BD71B1" w:rsidRDefault="00BD71B1">
      <w:pPr>
        <w:pStyle w:val="ListParagraph"/>
        <w:ind w:left="454" w:hanging="454"/>
      </w:pPr>
      <w:r>
        <w:t xml:space="preserve">1.  The offset scheme is the most technically complex and legally contested provision in the entire package</w:t>
      </w:r>
    </w:p>
    <w:p w14:paraId="A000006F" w14:textId="77777777" w:rsidR="00BD71B1" w:rsidRDefault="00BD71B1">
      <w:pPr>
        <w:pStyle w:val="ListParagraph"/>
        <w:ind w:left="454" w:hanging="454"/>
      </w:pPr>
      <w:r>
        <w:t xml:space="preserve">2.  Wintle's evidence will likely be treated as expert testimony by the committee — prepare a detailed technical response to the 'like for like' argument and the NSW comparison, ideally with input from Environment Information Australia on baseline data availability</w:t>
      </w:r>
    </w:p>
    <w:p w14:paraId="A0000070" w14:textId="77777777" w:rsidR="00BD71B1" w:rsidRDefault="00BD71B1">
      <w:pPr>
        <w:pStyle w:val="ListParagraph"/>
        <w:ind w:left="454" w:hanging="454"/>
      </w:pPr>
      <w:r>
        <w:t xml:space="preserve">3.  The EJA 'simple drafting amendments' argument, if not rebutted, gives the committee a clear rationale for recommending amendments to the bills</w:t>
      </w:r>
    </w:p>
    <w:p w14:paraId="A0000071" w14:textId="77777777" w:rsidR="009D47C4" w:rsidRDefault="009D47C4">
      <w:pPr>
        <w:pStyle w:val="Heading2"/>
      </w:pPr>
      <w:r>
        <w:t>Section 5: Australian Climate and Biodiversity Foundation</w:t>
      </w:r>
    </w:p>
    <w:tbl>
      <w:tblPr>
        <w:tblStyle w:val="TableGrid"/>
        <w:tblW w:w="0" w:type="auto"/>
        <w:tblBorders>
          <w:top w:val="single" w:sz="2" w:space="0" w:color="auto"/>
          <w:left w:val="none" w:sz="0" w:space="0" w:color="auto"/>
          <w:bottom w:val="single" w:sz="2" w:space="0" w:color="auto"/>
          <w:right w:val="none" w:sz="0" w:space="0" w:color="auto"/>
          <w:insideH w:val="dotted" w:sz="4" w:space="0" w:color="auto"/>
          <w:insideV w:val="none" w:sz="0" w:space="0" w:color="auto"/>
        </w:tblBorders>
        <w:tblLook w:val="04A0" w:firstRow="1" w:lastRow="0" w:firstColumn="1" w:lastColumn="0" w:noHBand="0" w:noVBand="1"/>
      </w:tblPr>
      <w:tblGrid>
        <w:gridCol w:w="1701"/>
        <w:gridCol w:w="7927"/>
      </w:tblGrid>
      <w:tr w14:paraId="A0000072" w14:textId="77777777">
        <w:tc>
          <w:tcPr>
            <w:tcW w:w="1701" w:type="dxa"/>
          </w:tcPr>
          <w:p w14:paraId="A0000073" w14:textId="77777777" w:rsidR="009D47C4" w:rsidRDefault="009D47C4" w:rsidP="00C654E5">
            <w:pPr>
              <w:pStyle w:val="TableText"/>
              <w:rPr>
                <w:rFonts w:ascii="Aptos SemiBold" w:hAnsi="Aptos SemiBold"/>
              </w:rPr>
            </w:pPr>
            <w:r>
              <w:rPr>
                <w:rFonts w:ascii="Aptos SemiBold" w:hAnsi="Aptos SemiBold"/>
              </w:rPr>
              <w:t>Hansard pages</w:t>
            </w:r>
          </w:p>
        </w:tc>
        <w:tc>
          <w:tcPr>
            <w:tcW w:w="7927" w:type="dxa"/>
          </w:tcPr>
          <w:p w14:paraId="A0000074" w14:textId="77777777" w:rsidR="009D47C4" w:rsidRDefault="009D47C4" w:rsidP="00C654E5">
            <w:pPr>
              <w:pStyle w:val="TableText"/>
            </w:pPr>
            <w:r>
              <w:t xml:space="preserve">pp. 41 – 47 (approx.)</w:t>
            </w:r>
          </w:p>
        </w:tc>
      </w:tr>
      <w:tr w14:paraId="A0000075" w14:textId="77777777">
        <w:tc>
          <w:tcPr>
            <w:tcW w:w="1701" w:type="dxa"/>
          </w:tcPr>
          <w:p w14:paraId="A0000076" w14:textId="77777777" w:rsidR="009D47C4" w:rsidRDefault="009D47C4" w:rsidP="00C654E5">
            <w:pPr>
              <w:pStyle w:val="TableText"/>
              <w:rPr>
                <w:rFonts w:ascii="Aptos SemiBold" w:hAnsi="Aptos SemiBold"/>
              </w:rPr>
            </w:pPr>
            <w:r>
              <w:rPr>
                <w:rFonts w:ascii="Aptos SemiBold" w:hAnsi="Aptos SemiBold"/>
              </w:rPr>
              <w:t>Witnesses</w:t>
            </w:r>
          </w:p>
        </w:tc>
        <w:tc>
          <w:tcPr>
            <w:tcW w:w="7927" w:type="dxa"/>
          </w:tcPr>
          <w:p w14:paraId="A0000077" w14:textId="77777777" w:rsidR="009D47C4" w:rsidRDefault="009D47C4" w:rsidP="00C654E5">
            <w:pPr>
              <w:pStyle w:val="TableText"/>
            </w:pPr>
            <w:r>
              <w:t xml:space="preserve">Lyndon Schneiders (Executive Director, Australian Climate and Biodiversity Foundation) — by video link</w:t>
            </w:r>
          </w:p>
        </w:tc>
      </w:tr>
    </w:tbl>
    <w:p w14:paraId="A0000078" w14:textId="77777777" w:rsidR="009D47C4" w:rsidRDefault="009D47C4">
      <w:pPr>
        <w:pStyle w:val="Heading3"/>
      </w:pPr>
      <w:r>
        <w:t>L1 — The record</w:t>
      </w:r>
    </w:p>
    <w:p w14:paraId="A0000079" w14:textId="77777777" w:rsidR="00BD71B1" w:rsidRDefault="00BD71B1">
      <w:pPr>
        <w:pStyle w:val="ListParagraph"/>
        <w:ind w:left="454" w:hanging="454"/>
      </w:pPr>
      <w:r>
        <w:t xml:space="preserve">1.  Lyndon Schneiders appeared by video link</w:t>
      </w:r>
    </w:p>
    <w:p w14:paraId="A000007A" w14:textId="77777777" w:rsidR="00BD71B1" w:rsidRDefault="00BD71B1">
      <w:pPr>
        <w:pStyle w:val="ListParagraph"/>
        <w:ind w:left="454" w:hanging="454"/>
      </w:pPr>
      <w:r>
        <w:t xml:space="preserve">2.  Questioned by Senators Grogan and Hanson-Young</w:t>
      </w:r>
    </w:p>
    <w:p w14:paraId="A000007B" w14:textId="77777777" w:rsidR="00BD71B1" w:rsidRDefault="00BD71B1">
      <w:pPr>
        <w:pStyle w:val="ListParagraph"/>
        <w:ind w:left="454" w:hanging="454"/>
      </w:pPr>
      <w:r>
        <w:t xml:space="preserve">3.  Key topics covered:</w:t>
      </w:r>
    </w:p>
    <w:p w14:paraId="A000007C" w14:textId="77777777" w:rsidR="00BD71B1" w:rsidRDefault="00BD71B1">
      <w:pPr>
        <w:pStyle w:val="ListParagraph"/>
        <w:ind w:left="908" w:hanging="454"/>
      </w:pPr>
      <w:r>
        <w:t xml:space="preserve">a.  Overall architecture of the bills</w:t>
      </w:r>
    </w:p>
    <w:p w14:paraId="A000007D" w14:textId="77777777" w:rsidR="00BD71B1" w:rsidRDefault="00BD71B1">
      <w:pPr>
        <w:pStyle w:val="ListParagraph"/>
        <w:ind w:left="908" w:hanging="454"/>
      </w:pPr>
      <w:r>
        <w:t xml:space="preserve">b.  Net gain concept and the restoration contribution fund</w:t>
      </w:r>
    </w:p>
    <w:p w14:paraId="A000007E" w14:textId="77777777" w:rsidR="00BD71B1" w:rsidRDefault="00BD71B1">
      <w:pPr>
        <w:pStyle w:val="ListParagraph"/>
        <w:ind w:left="908" w:hanging="454"/>
      </w:pPr>
      <w:r>
        <w:t xml:space="preserve">c.  Critical habitat provisions</w:t>
      </w:r>
    </w:p>
    <w:p w14:paraId="A000007F" w14:textId="77777777" w:rsidR="00BD71B1" w:rsidRDefault="00BD71B1">
      <w:pPr>
        <w:pStyle w:val="ListParagraph"/>
        <w:ind w:left="908" w:hanging="454"/>
      </w:pPr>
      <w:r>
        <w:t xml:space="preserve">d.  Emissions disclosure requirements and their decision-making function</w:t>
      </w:r>
    </w:p>
    <w:p w14:paraId="A0000080" w14:textId="77777777" w:rsidR="00BD71B1" w:rsidRDefault="00BD71B1">
      <w:pPr>
        <w:pStyle w:val="ListParagraph"/>
        <w:ind w:left="454" w:hanging="454"/>
      </w:pPr>
      <w:r>
        <w:t xml:space="preserve">4.  Schneiders commended DCCEEW's work in assembling the legislative package</w:t>
      </w:r>
    </w:p>
    <w:p w14:paraId="A0000081" w14:textId="77777777" w:rsidR="00BD71B1" w:rsidRDefault="00BD71B1">
      <w:pPr>
        <w:pStyle w:val="ListParagraph"/>
        <w:ind w:left="454" w:hanging="454"/>
      </w:pPr>
      <w:r>
        <w:t xml:space="preserve">5.  No documents tabled</w:t>
      </w:r>
    </w:p>
    <w:p w14:paraId="A0000082" w14:textId="77777777" w:rsidR="009D47C4" w:rsidRDefault="009D47C4">
      <w:pPr>
        <w:pStyle w:val="Heading3"/>
      </w:pPr>
      <w:r>
        <w:t>L2 — Legislative and policy signal</w:t>
      </w:r>
    </w:p>
    <w:p w14:paraId="A0000083" w14:textId="77777777" w:rsidR="00BD71B1" w:rsidRDefault="00BD71B1">
      <w:pPr>
        <w:pStyle w:val="ListParagraph"/>
        <w:ind w:left="454" w:hanging="454"/>
      </w:pPr>
      <w:r>
        <w:t xml:space="preserve">1.  Overall architecture — Schneiders characterised the bills as a faithful representation of Samuel 2020 building on Hawke 2010; noted a high level of business-environment agreement achieved during the 2020 consultative process</w:t>
      </w:r>
    </w:p>
    <w:p w14:paraId="A0000084" w14:textId="77777777" w:rsidR="00BD71B1" w:rsidRDefault="00BD71B1">
      <w:pPr>
        <w:pStyle w:val="ListParagraph"/>
        <w:ind w:left="454" w:hanging="454"/>
      </w:pPr>
      <w:r>
        <w:t xml:space="preserve">2.  Key strengths identified:</w:t>
      </w:r>
    </w:p>
    <w:p w14:paraId="A0000085" w14:textId="77777777" w:rsidR="00BD71B1" w:rsidRDefault="00BD71B1">
      <w:pPr>
        <w:pStyle w:val="ListParagraph"/>
        <w:ind w:left="908" w:hanging="454"/>
      </w:pPr>
      <w:r>
        <w:t xml:space="preserve">a.  NES with binding decision-maker requirements</w:t>
      </w:r>
    </w:p>
    <w:p w14:paraId="A0000086" w14:textId="77777777" w:rsidR="00BD71B1" w:rsidRDefault="00BD71B1">
      <w:pPr>
        <w:pStyle w:val="ListParagraph"/>
        <w:ind w:left="908" w:hanging="454"/>
      </w:pPr>
      <w:r>
        <w:t xml:space="preserve">b.  Outcomes embedded in legislation rather than just process</w:t>
      </w:r>
    </w:p>
    <w:p w14:paraId="A0000087" w14:textId="77777777" w:rsidR="00BD71B1" w:rsidRDefault="00BD71B1">
      <w:pPr>
        <w:pStyle w:val="ListParagraph"/>
        <w:ind w:left="908" w:hanging="454"/>
      </w:pPr>
      <w:r>
        <w:t xml:space="preserve">c.  Critical habitat identification and protection</w:t>
      </w:r>
    </w:p>
    <w:p w14:paraId="A0000088" w14:textId="77777777" w:rsidR="00BD71B1" w:rsidRDefault="00BD71B1">
      <w:pPr>
        <w:pStyle w:val="ListParagraph"/>
        <w:ind w:left="908" w:hanging="454"/>
      </w:pPr>
      <w:r>
        <w:t xml:space="preserve">d.  Net gain concept</w:t>
      </w:r>
    </w:p>
    <w:p w14:paraId="A0000089" w14:textId="77777777" w:rsidR="00BD71B1" w:rsidRDefault="00BD71B1">
      <w:pPr>
        <w:pStyle w:val="ListParagraph"/>
        <w:ind w:left="908" w:hanging="454"/>
      </w:pPr>
      <w:r>
        <w:t xml:space="preserve">e.  Restoration contribution fund (with appropriate guardrails)</w:t>
      </w:r>
    </w:p>
    <w:p w14:paraId="A000008A" w14:textId="77777777" w:rsidR="00BD71B1" w:rsidRDefault="00BD71B1">
      <w:pPr>
        <w:pStyle w:val="ListParagraph"/>
        <w:ind w:left="908" w:hanging="454"/>
      </w:pPr>
      <w:r>
        <w:t xml:space="preserve">f.  National EPA</w:t>
      </w:r>
    </w:p>
    <w:p w14:paraId="A000008B" w14:textId="77777777" w:rsidR="00BD71B1" w:rsidRDefault="00BD71B1">
      <w:pPr>
        <w:pStyle w:val="ListParagraph"/>
        <w:ind w:left="454" w:hanging="454"/>
      </w:pPr>
      <w:r>
        <w:t xml:space="preserve">3.  Current EPBC Act — characterised as enabling extinction and habitat destruction through unfettered discretion; 'no outcomes, only process'</w:t>
      </w:r>
    </w:p>
    <w:p w14:paraId="A000008C" w14:textId="77777777" w:rsidR="00BD71B1" w:rsidRDefault="00BD71B1">
      <w:pPr>
        <w:pStyle w:val="ListParagraph"/>
        <w:ind w:left="454" w:hanging="454"/>
      </w:pPr>
      <w:r>
        <w:t xml:space="preserve">4.  Emissions disclosure — noted the purpose of emissions disclosure (once collected by the Environmental Information Agency) is unclear; called for clarification of how disclosed emissions relate to wider climate policy; consistent with DCCEEW's own limited public explanation</w:t>
      </w:r>
    </w:p>
    <w:p w14:paraId="A000008D" w14:textId="77777777" w:rsidR="00BD71B1" w:rsidRDefault="00BD71B1">
      <w:pPr>
        <w:pStyle w:val="ListParagraph"/>
        <w:ind w:left="454" w:hanging="454"/>
      </w:pPr>
      <w:r>
        <w:t xml:space="preserve">5.  Net gain — supported the concept but flagged that 'the devil is in the detail' and that work over the next 12-18 months on standards would be critical</w:t>
      </w:r>
    </w:p>
    <w:p w14:paraId="A000008E" w14:textId="77777777" w:rsidR="009D47C4" w:rsidRDefault="009D47C4">
      <w:pPr>
        <w:pStyle w:val="Heading3"/>
      </w:pPr>
      <w:r>
        <w:t>L3 — Political intelligence</w:t>
      </w:r>
    </w:p>
    <w:p w14:paraId="A000008F" w14:textId="77777777" w:rsidR="00BD71B1" w:rsidRDefault="00BD71B1">
      <w:pPr>
        <w:pStyle w:val="ListParagraph"/>
        <w:ind w:left="454" w:hanging="454"/>
      </w:pPr>
      <w:r>
        <w:t xml:space="preserve">1.  Political dynamics: low signal in this section — Schneiders' evidence was supportive of the overall package and did not generate adversarial exchanges</w:t>
      </w:r>
    </w:p>
    <w:p w14:paraId="A0000090" w14:textId="77777777" w:rsidR="00BD71B1" w:rsidRDefault="00BD71B1">
      <w:pPr>
        <w:pStyle w:val="ListParagraph"/>
        <w:ind w:left="454" w:hanging="454"/>
      </w:pPr>
      <w:r>
        <w:t xml:space="preserve">2.  His public commendation of DCCEEW's work is a useful positive data point for the department but carries limited political weight given ACBF's lower public profile compared to WWF, Greenpeace, or ACF</w:t>
      </w:r>
    </w:p>
    <w:p w14:paraId="A0000091" w14:textId="77777777" w:rsidR="009D47C4" w:rsidRDefault="009D47C4">
      <w:pPr>
        <w:pStyle w:val="Heading3"/>
      </w:pPr>
      <w:r>
        <w:t>L4 — Risk and exposure</w:t>
      </w:r>
    </w:p>
    <w:p w14:paraId="A0000092" w14:textId="77777777" w:rsidR="00BD71B1" w:rsidRDefault="00BD71B1">
      <w:pPr>
        <w:pStyle w:val="ListParagraph"/>
        <w:ind w:left="454" w:hanging="454"/>
      </w:pPr>
      <w:r>
        <w:t xml:space="preserve">1.  No questions on notice placed; no DCCEEW exposure points identified in this session</w:t>
      </w:r>
    </w:p>
    <w:p w14:paraId="A0000093" w14:textId="77777777" w:rsidR="00BD71B1" w:rsidRDefault="00BD71B1">
      <w:pPr>
        <w:pStyle w:val="ListParagraph"/>
        <w:ind w:left="454" w:hanging="454"/>
      </w:pPr>
      <w:r>
        <w:t xml:space="preserve">2.  Note: Schneiders' observation that the purpose of emissions disclosure is unclear is internally consistent with DCCEEW officials' afternoon evidence — this is a gap in the public architecture that may attract committee attention</w:t>
      </w:r>
    </w:p>
    <w:p w14:paraId="A0000094" w14:textId="77777777" w:rsidR="009D47C4" w:rsidRDefault="009D47C4">
      <w:pPr>
        <w:pStyle w:val="Heading3"/>
      </w:pPr>
      <w:r>
        <w:t>L5 — Forward look</w:t>
      </w:r>
    </w:p>
    <w:p w14:paraId="A0000095" w14:textId="77777777" w:rsidR="00BD71B1" w:rsidRDefault="00BD71B1">
      <w:pPr>
        <w:pStyle w:val="ListParagraph"/>
        <w:ind w:left="454" w:hanging="454"/>
      </w:pPr>
      <w:r>
        <w:t xml:space="preserve">1.  The emissions disclosure purpose gap will likely attract a committee question on notice or a recommendation</w:t>
      </w:r>
    </w:p>
    <w:p w14:paraId="A0000096" w14:textId="77777777" w:rsidR="00BD71B1" w:rsidRDefault="00BD71B1">
      <w:pPr>
        <w:pStyle w:val="ListParagraph"/>
        <w:ind w:left="454" w:hanging="454"/>
      </w:pPr>
      <w:r>
        <w:t xml:space="preserve">2.  DCCEEW should develop a clearer public explanation of what decision-makers are expected to do with emissions disclosure information, and how this connects to broader whole-of-government climate policy</w:t>
      </w:r>
    </w:p>
    <w:p w14:paraId="A0000097" w14:textId="77777777" w:rsidR="009D47C4" w:rsidRDefault="009D47C4">
      <w:pPr>
        <w:pStyle w:val="Heading2"/>
      </w:pPr>
      <w:r>
        <w:t>Section 6: Mining industry — MCA, CME WA, AMEC</w:t>
      </w:r>
    </w:p>
    <w:tbl>
      <w:tblPr>
        <w:tblStyle w:val="TableGrid"/>
        <w:tblW w:w="0" w:type="auto"/>
        <w:tblBorders>
          <w:top w:val="single" w:sz="2" w:space="0" w:color="auto"/>
          <w:left w:val="none" w:sz="0" w:space="0" w:color="auto"/>
          <w:bottom w:val="single" w:sz="2" w:space="0" w:color="auto"/>
          <w:right w:val="none" w:sz="0" w:space="0" w:color="auto"/>
          <w:insideH w:val="dotted" w:sz="4" w:space="0" w:color="auto"/>
          <w:insideV w:val="none" w:sz="0" w:space="0" w:color="auto"/>
        </w:tblBorders>
        <w:tblLook w:val="04A0" w:firstRow="1" w:lastRow="0" w:firstColumn="1" w:lastColumn="0" w:noHBand="0" w:noVBand="1"/>
      </w:tblPr>
      <w:tblGrid>
        <w:gridCol w:w="1701"/>
        <w:gridCol w:w="7927"/>
      </w:tblGrid>
      <w:tr w14:paraId="A0000098" w14:textId="77777777">
        <w:tc>
          <w:tcPr>
            <w:tcW w:w="1701" w:type="dxa"/>
          </w:tcPr>
          <w:p w14:paraId="A0000099" w14:textId="77777777" w:rsidR="009D47C4" w:rsidRDefault="009D47C4" w:rsidP="00C654E5">
            <w:pPr>
              <w:pStyle w:val="TableText"/>
              <w:rPr>
                <w:rFonts w:ascii="Aptos SemiBold" w:hAnsi="Aptos SemiBold"/>
              </w:rPr>
            </w:pPr>
            <w:r>
              <w:rPr>
                <w:rFonts w:ascii="Aptos SemiBold" w:hAnsi="Aptos SemiBold"/>
              </w:rPr>
              <w:t>Hansard pages</w:t>
            </w:r>
          </w:p>
        </w:tc>
        <w:tc>
          <w:tcPr>
            <w:tcW w:w="7927" w:type="dxa"/>
          </w:tcPr>
          <w:p w14:paraId="A000009A" w14:textId="77777777" w:rsidR="009D47C4" w:rsidRDefault="009D47C4" w:rsidP="00C654E5">
            <w:pPr>
              <w:pStyle w:val="TableText"/>
            </w:pPr>
            <w:r>
              <w:t xml:space="preserve">pp. 48 – 66 (approx.)</w:t>
            </w:r>
          </w:p>
        </w:tc>
      </w:tr>
      <w:tr w14:paraId="A000009B" w14:textId="77777777">
        <w:tc>
          <w:tcPr>
            <w:tcW w:w="1701" w:type="dxa"/>
          </w:tcPr>
          <w:p w14:paraId="A000009C" w14:textId="77777777" w:rsidR="009D47C4" w:rsidRDefault="009D47C4" w:rsidP="00C654E5">
            <w:pPr>
              <w:pStyle w:val="TableText"/>
              <w:rPr>
                <w:rFonts w:ascii="Aptos SemiBold" w:hAnsi="Aptos SemiBold"/>
              </w:rPr>
            </w:pPr>
            <w:r>
              <w:rPr>
                <w:rFonts w:ascii="Aptos SemiBold" w:hAnsi="Aptos SemiBold"/>
              </w:rPr>
              <w:t>Witnesses</w:t>
            </w:r>
          </w:p>
        </w:tc>
        <w:tc>
          <w:tcPr>
            <w:tcW w:w="7927" w:type="dxa"/>
          </w:tcPr>
          <w:p w14:paraId="A000009D" w14:textId="77777777" w:rsidR="009D47C4" w:rsidRDefault="009D47C4" w:rsidP="00C654E5">
            <w:pPr>
              <w:pStyle w:val="TableText"/>
            </w:pPr>
            <w:r>
              <w:t xml:space="preserve">Tania Constable (CEO, Minerals Council of Australia); Steven Brown (Principal Adviser, Environmental Policy, MCA); Chris McCombe (General Manager, Sustainability, MCA); Anita Logiudice (Director, Policy and Advocacy, CME WA); Warren Pearce (CEO, Association of Mining and Exploration Companies); Sash Pavic (Director, Commonwealth, AMEC)</w:t>
            </w:r>
          </w:p>
        </w:tc>
      </w:tr>
    </w:tbl>
    <w:p w14:paraId="A000009E" w14:textId="77777777" w:rsidR="009D47C4" w:rsidRDefault="009D47C4">
      <w:pPr>
        <w:pStyle w:val="Heading3"/>
      </w:pPr>
      <w:r>
        <w:t>L1 — The record</w:t>
      </w:r>
    </w:p>
    <w:p w14:paraId="A000009F" w14:textId="77777777" w:rsidR="00BD71B1" w:rsidRDefault="00BD71B1">
      <w:pPr>
        <w:pStyle w:val="ListParagraph"/>
        <w:ind w:left="454" w:hanging="454"/>
      </w:pPr>
      <w:r>
        <w:t xml:space="preserve">1.  MCA, CME WA, and AMEC appeared jointly</w:t>
      </w:r>
    </w:p>
    <w:p w14:paraId="A00000A0" w14:textId="77777777" w:rsidR="00BD71B1" w:rsidRDefault="00BD71B1">
      <w:pPr>
        <w:pStyle w:val="ListParagraph"/>
        <w:ind w:left="454" w:hanging="454"/>
      </w:pPr>
      <w:r>
        <w:t xml:space="preserve">2.  Questioned by Senators Henderson, McDonald, Duniam, Pocock, Grogan, and Ananda-Rajah</w:t>
      </w:r>
    </w:p>
    <w:p w14:paraId="A00000A1" w14:textId="77777777" w:rsidR="00BD71B1" w:rsidRDefault="00BD71B1">
      <w:pPr>
        <w:pStyle w:val="ListParagraph"/>
        <w:ind w:left="454" w:hanging="454"/>
      </w:pPr>
      <w:r>
        <w:t xml:space="preserve">3.  Key topics covered:</w:t>
      </w:r>
    </w:p>
    <w:p w14:paraId="A00000A2" w14:textId="77777777" w:rsidR="00BD71B1" w:rsidRDefault="00BD71B1">
      <w:pPr>
        <w:pStyle w:val="ListParagraph"/>
        <w:ind w:left="908" w:hanging="454"/>
      </w:pPr>
      <w:r>
        <w:t xml:space="preserve">a.  Unacceptable impacts criteria ('37 definitions across 8 pages')</w:t>
      </w:r>
    </w:p>
    <w:p w14:paraId="A00000A3" w14:textId="77777777" w:rsidR="00BD71B1" w:rsidRDefault="00BD71B1">
      <w:pPr>
        <w:pStyle w:val="ListParagraph"/>
        <w:ind w:left="908" w:hanging="454"/>
      </w:pPr>
      <w:r>
        <w:t xml:space="preserve">b.  Retention of existing EPBC assessment pathways</w:t>
      </w:r>
    </w:p>
    <w:p w14:paraId="A00000A4" w14:textId="77777777" w:rsidR="00BD71B1" w:rsidRDefault="00BD71B1">
      <w:pPr>
        <w:pStyle w:val="ListParagraph"/>
        <w:ind w:left="908" w:hanging="454"/>
      </w:pPr>
      <w:r>
        <w:t xml:space="preserve">c.  EPA accountability and removability of the CEO</w:t>
      </w:r>
    </w:p>
    <w:p w14:paraId="A00000A5" w14:textId="77777777" w:rsidR="00BD71B1" w:rsidRDefault="00BD71B1">
      <w:pPr>
        <w:pStyle w:val="ListParagraph"/>
        <w:ind w:left="908" w:hanging="454"/>
      </w:pPr>
      <w:r>
        <w:t xml:space="preserve">d.  Compliance and enforcement proportionality</w:t>
      </w:r>
    </w:p>
    <w:p w14:paraId="A00000A6" w14:textId="77777777" w:rsidR="00BD71B1" w:rsidRDefault="00BD71B1">
      <w:pPr>
        <w:pStyle w:val="ListParagraph"/>
        <w:ind w:left="908" w:hanging="454"/>
      </w:pPr>
      <w:r>
        <w:t xml:space="preserve">e.  Climate disclosures and decision-making</w:t>
      </w:r>
    </w:p>
    <w:p w14:paraId="A00000A7" w14:textId="77777777" w:rsidR="00BD71B1" w:rsidRDefault="00BD71B1">
      <w:pPr>
        <w:pStyle w:val="ListParagraph"/>
        <w:ind w:left="908" w:hanging="454"/>
      </w:pPr>
      <w:r>
        <w:t xml:space="preserve">f.  Net gain operability in WA (Crown land, remote areas, minimal baseline data)</w:t>
      </w:r>
    </w:p>
    <w:p w14:paraId="A00000A8" w14:textId="77777777" w:rsidR="00BD71B1" w:rsidRDefault="00BD71B1">
      <w:pPr>
        <w:pStyle w:val="ListParagraph"/>
        <w:ind w:left="908" w:hanging="454"/>
      </w:pPr>
      <w:r>
        <w:t xml:space="preserve">g.  Nuclear actions definition and naturally occurring radioactive materials (NORMs)</w:t>
      </w:r>
    </w:p>
    <w:p w14:paraId="A00000A9" w14:textId="77777777" w:rsidR="00BD71B1" w:rsidRDefault="00BD71B1">
      <w:pPr>
        <w:pStyle w:val="ListParagraph"/>
        <w:ind w:left="454" w:hanging="454"/>
      </w:pPr>
      <w:r>
        <w:t xml:space="preserve">4.  Constable confirmed MCA had met the minister and PM's office</w:t>
      </w:r>
    </w:p>
    <w:p w14:paraId="A00000AA" w14:textId="77777777" w:rsidR="00BD71B1" w:rsidRDefault="00BD71B1">
      <w:pPr>
        <w:pStyle w:val="ListParagraph"/>
        <w:ind w:left="454" w:hanging="454"/>
      </w:pPr>
      <w:r>
        <w:t xml:space="preserve">5.  Logiudice (CME WA) confirmed CME WA had NOT met the minister since the legislation was tabled</w:t>
      </w:r>
    </w:p>
    <w:p w14:paraId="A00000AB" w14:textId="77777777" w:rsidR="00BD71B1" w:rsidRDefault="00BD71B1">
      <w:pPr>
        <w:pStyle w:val="ListParagraph"/>
        <w:ind w:left="454" w:hanging="454"/>
      </w:pPr>
      <w:r>
        <w:t xml:space="preserve">6.  Pearce (AMEC): 'I'd like to argue about something else. I'd really like to see our projects move forward and to take advantage of this once-in-a-generation critical minerals opportunity'</w:t>
      </w:r>
    </w:p>
    <w:p w14:paraId="A00000AC" w14:textId="77777777" w:rsidR="00BD71B1" w:rsidRDefault="00BD71B1">
      <w:pPr>
        <w:pStyle w:val="ListParagraph"/>
        <w:ind w:left="454" w:hanging="454"/>
      </w:pPr>
      <w:r>
        <w:t xml:space="preserve">7.  No documents formally tabled</w:t>
      </w:r>
    </w:p>
    <w:p w14:paraId="A00000AD" w14:textId="77777777" w:rsidR="009D47C4" w:rsidRDefault="009D47C4">
      <w:pPr>
        <w:pStyle w:val="Heading3"/>
      </w:pPr>
      <w:r>
        <w:t>L2 — Legislative and policy signal</w:t>
      </w:r>
    </w:p>
    <w:p w14:paraId="A00000AE" w14:textId="77777777" w:rsidR="00BD71B1" w:rsidRDefault="00BD71B1">
      <w:pPr>
        <w:pStyle w:val="ListParagraph"/>
        <w:ind w:left="454" w:hanging="454"/>
      </w:pPr>
      <w:r>
        <w:t xml:space="preserve">1.  Unacceptable impacts criteria — industry characterised the current drafting as unclear, subjective, and largely untested; cited 37 definitions across 8 pages; called for a single clear definition; DCCEEW's position that the criteria provide clarity is directly contested; verify the 37-definition claim</w:t>
      </w:r>
    </w:p>
    <w:p w14:paraId="A00000AF" w14:textId="77777777" w:rsidR="00BD71B1" w:rsidRDefault="00BD71B1">
      <w:pPr>
        <w:pStyle w:val="ListParagraph"/>
        <w:ind w:left="454" w:hanging="454"/>
      </w:pPr>
      <w:r>
        <w:t xml:space="preserve">2.  Assessment pathways — industry sought retention of all existing EPBC pathways in addition to new pathways; DCCEEW officials confirmed four post-commencement pathways (accredited, streamlined, EIS, public inquiry) but did not directly address whether any existing pathway was being removed</w:t>
      </w:r>
    </w:p>
    <w:p w14:paraId="A00000B0" w14:textId="77777777" w:rsidR="00BD71B1" w:rsidRDefault="00BD71B1">
      <w:pPr>
        <w:pStyle w:val="ListParagraph"/>
        <w:ind w:left="454" w:hanging="454"/>
      </w:pPr>
      <w:r>
        <w:t xml:space="preserve">3.  EPA accountability — industry demanded the CEO be accountable and removable by the minister, or that EPA be limited to compliance/enforcement only; aligns with Coalition questioning and is the most likely vehicle for a Coalition amendment</w:t>
      </w:r>
    </w:p>
    <w:p w14:paraId="A00000B1" w14:textId="77777777" w:rsidR="00BD71B1" w:rsidRDefault="00BD71B1">
      <w:pPr>
        <w:pStyle w:val="ListParagraph"/>
        <w:ind w:left="454" w:hanging="454"/>
      </w:pPr>
      <w:r>
        <w:t xml:space="preserve">4.  Climate disclosures — sought explicit exclusion of emissions disclosures from decision-making; DCCEEW's current position (scopes 1 and 2 only, no decision-making function) partially addresses this but has not been clearly communicated</w:t>
      </w:r>
    </w:p>
    <w:p w14:paraId="A00000B2" w14:textId="77777777" w:rsidR="00BD71B1" w:rsidRDefault="00BD71B1">
      <w:pPr>
        <w:pStyle w:val="ListParagraph"/>
        <w:ind w:left="454" w:hanging="454"/>
      </w:pPr>
      <w:r>
        <w:t xml:space="preserve">5.  Net gain (WA) — CME WA raised particular challenges: Crown land, remote areas with no baseline biodiversity data, and limited offset markets; a genuine implementation gap not adequately addressed in DCCEEW's public position</w:t>
      </w:r>
    </w:p>
    <w:p w14:paraId="A00000B3" w14:textId="77777777" w:rsidR="00BD71B1" w:rsidRDefault="00BD71B1">
      <w:pPr>
        <w:pStyle w:val="ListParagraph"/>
        <w:ind w:left="454" w:hanging="454"/>
      </w:pPr>
      <w:r>
        <w:t xml:space="preserve">6.  NORMs definition — AMEC argued the nuclear actions definition would inadvertently capture mineral sands and rare earths (NORMs), requiring 12-month federal assessments; proposed renaming to 'radiological exposure actions' and aligning with ARPANSA; a specific, targeted drafting amendment DCCEEW should evaluate on its merits</w:t>
      </w:r>
    </w:p>
    <w:p w14:paraId="A00000B4" w14:textId="77777777" w:rsidR="009D47C4" w:rsidRDefault="009D47C4">
      <w:pPr>
        <w:pStyle w:val="Heading3"/>
      </w:pPr>
      <w:r>
        <w:t>L3 — Political intelligence</w:t>
      </w:r>
    </w:p>
    <w:p w14:paraId="A00000B5" w14:textId="77777777" w:rsidR="00BD71B1" w:rsidRDefault="00BD71B1">
      <w:pPr>
        <w:pStyle w:val="ListParagraph"/>
        <w:ind w:left="454" w:hanging="454"/>
      </w:pPr>
      <w:r>
        <w:t xml:space="preserve">1.  The Coalition (Henderson, McDonald, Duniam) used the mining industry session as its primary vehicle for building a record in support of business certainty amendments; focus on EPA accountability and unacceptable impacts criteria aligns with likely dissenting report themes</w:t>
      </w:r>
    </w:p>
    <w:p w14:paraId="A00000B6" w14:textId="77777777" w:rsidR="00BD71B1" w:rsidRDefault="00BD71B1">
      <w:pPr>
        <w:pStyle w:val="ListParagraph"/>
        <w:ind w:left="454" w:hanging="454"/>
      </w:pPr>
      <w:r>
        <w:t xml:space="preserve">2.  The engagement asymmetry between MCA (met the minister) and CME WA (not met the minister since tabling) is politically significant; CME WA's public statement creates a negative record that will be cited in support of inadequate consultation arguments</w:t>
      </w:r>
    </w:p>
    <w:p w14:paraId="A00000B7" w14:textId="77777777" w:rsidR="00BD71B1" w:rsidRDefault="00BD71B1">
      <w:pPr>
        <w:pStyle w:val="ListParagraph"/>
        <w:ind w:left="454" w:hanging="454"/>
      </w:pPr>
      <w:r>
        <w:t xml:space="preserve">3.  AMEC's appeal to move past the argument and get projects approved signals that at least part of the mining sector may be separable from MCA/CME WA on the intensity of their amendment demands</w:t>
      </w:r>
    </w:p>
    <w:p w14:paraId="A00000B8" w14:textId="77777777" w:rsidR="009D47C4" w:rsidRDefault="009D47C4">
      <w:pPr>
        <w:pStyle w:val="Heading3"/>
      </w:pPr>
      <w:r>
        <w:t>L4 — Risk and exposure</w:t>
      </w:r>
    </w:p>
    <w:p w14:paraId="A00000B9" w14:textId="77777777" w:rsidR="00BD71B1" w:rsidRDefault="00BD71B1">
      <w:pPr>
        <w:pStyle w:val="ListParagraph"/>
        <w:ind w:left="454" w:hanging="454"/>
      </w:pPr>
      <w:r>
        <w:t xml:space="preserve">1.  No formal questions on notice placed in this session</w:t>
      </w:r>
    </w:p>
    <w:p w14:paraId="A00000BA" w14:textId="77777777" w:rsidR="00BD71B1" w:rsidRDefault="00BD71B1">
      <w:pPr>
        <w:pStyle w:val="ListParagraph"/>
        <w:ind w:left="454" w:hanging="454"/>
      </w:pPr>
      <w:r>
        <w:t xml:space="preserve">2.  Exposure: CME WA's public statement that it had not met the minister since tabling requires a response; DCCEEW should be prepared to document the extent of departmental-level engagement with CME WA</w:t>
      </w:r>
    </w:p>
    <w:p w14:paraId="A00000BB" w14:textId="77777777" w:rsidR="00BD71B1" w:rsidRDefault="00BD71B1">
      <w:pPr>
        <w:pStyle w:val="ListParagraph"/>
        <w:ind w:left="454" w:hanging="454"/>
      </w:pPr>
      <w:r>
        <w:t xml:space="preserve">3.  Exposure: the claim of 37 definitions in the unacceptable impacts criteria should be verified; if accurate, DCCEEW needs a clear explanation of why multiple definitions are necessary and how they interact</w:t>
      </w:r>
    </w:p>
    <w:p w14:paraId="A00000BC" w14:textId="77777777" w:rsidR="00BD71B1" w:rsidRDefault="00BD71B1">
      <w:pPr>
        <w:pStyle w:val="ListParagraph"/>
        <w:ind w:left="454" w:hanging="454"/>
      </w:pPr>
      <w:r>
        <w:t xml:space="preserve">4.  Exposure: the NORMs definition concern is specific and technically plausible; if AMEC's legal reading is correct, it represents an unintended consequence fixable by a targeted drafting amendment — obtain legal advice</w:t>
      </w:r>
    </w:p>
    <w:p w14:paraId="A00000BD" w14:textId="77777777" w:rsidR="009D47C4" w:rsidRDefault="009D47C4">
      <w:pPr>
        <w:pStyle w:val="Heading3"/>
      </w:pPr>
      <w:r>
        <w:t>L5 — Forward look</w:t>
      </w:r>
    </w:p>
    <w:p w14:paraId="A00000BE" w14:textId="77777777" w:rsidR="00BD71B1" w:rsidRDefault="00BD71B1">
      <w:pPr>
        <w:pStyle w:val="ListParagraph"/>
        <w:ind w:left="454" w:hanging="454"/>
      </w:pPr>
      <w:r>
        <w:t xml:space="preserve">1.  Mining industry witnesses will be a primary source for Coalition dissenting report content</w:t>
      </w:r>
    </w:p>
    <w:p w14:paraId="A00000BF" w14:textId="77777777" w:rsidR="00BD71B1" w:rsidRDefault="00BD71B1">
      <w:pPr>
        <w:pStyle w:val="ListParagraph"/>
        <w:ind w:left="454" w:hanging="454"/>
      </w:pPr>
      <w:r>
        <w:t xml:space="preserve">2.  The three most likely vehicles for Coalition amendments are:</w:t>
      </w:r>
    </w:p>
    <w:p w14:paraId="A00000C0" w14:textId="77777777" w:rsidR="00BD71B1" w:rsidRDefault="00BD71B1">
      <w:pPr>
        <w:pStyle w:val="ListParagraph"/>
        <w:ind w:left="908" w:hanging="454"/>
      </w:pPr>
      <w:r>
        <w:t xml:space="preserve">a.  EPA accountability (CEO removability or limiting EPA to compliance/enforcement)</w:t>
      </w:r>
    </w:p>
    <w:p w14:paraId="A00000C1" w14:textId="77777777" w:rsidR="00BD71B1" w:rsidRDefault="00BD71B1">
      <w:pPr>
        <w:pStyle w:val="ListParagraph"/>
        <w:ind w:left="908" w:hanging="454"/>
      </w:pPr>
      <w:r>
        <w:t xml:space="preserve">b.  Unacceptable impacts criteria (single clear definition)</w:t>
      </w:r>
    </w:p>
    <w:p w14:paraId="A00000C2" w14:textId="77777777" w:rsidR="00BD71B1" w:rsidRDefault="00BD71B1">
      <w:pPr>
        <w:pStyle w:val="ListParagraph"/>
        <w:ind w:left="908" w:hanging="454"/>
      </w:pPr>
      <w:r>
        <w:t xml:space="preserve">c.  NORMs definition (targeted drafting fix, most amenable to acceptance without reopening the architecture)</w:t>
      </w:r>
    </w:p>
    <w:p w14:paraId="A00000C3" w14:textId="77777777" w:rsidR="00BD71B1" w:rsidRDefault="00BD71B1">
      <w:pPr>
        <w:pStyle w:val="ListParagraph"/>
        <w:ind w:left="454" w:hanging="454"/>
      </w:pPr>
      <w:r>
        <w:t xml:space="preserve">3.  Consider proactively engaging AMEC on the NORMs issue before the next hearing</w:t>
      </w:r>
    </w:p>
    <w:p w14:paraId="A00000C4" w14:textId="77777777" w:rsidR="00BD71B1" w:rsidRDefault="00BD71B1">
      <w:pPr>
        <w:pStyle w:val="ListParagraph"/>
        <w:ind w:left="454" w:hanging="454"/>
      </w:pPr>
      <w:r>
        <w:t xml:space="preserve">4.  Net gain/WA operability question may attract a recommendation for additional guidance rather than a legislative amendment</w:t>
      </w:r>
    </w:p>
    <w:p w14:paraId="A00000C5" w14:textId="77777777" w:rsidR="009D47C4" w:rsidRDefault="009D47C4">
      <w:pPr>
        <w:pStyle w:val="Heading2"/>
      </w:pPr>
      <w:r>
        <w:t>Section 7: Property Council of Australia and DCCEEW officials</w:t>
      </w:r>
    </w:p>
    <w:tbl>
      <w:tblPr>
        <w:tblStyle w:val="TableGrid"/>
        <w:tblW w:w="0" w:type="auto"/>
        <w:tblBorders>
          <w:top w:val="single" w:sz="2" w:space="0" w:color="auto"/>
          <w:left w:val="none" w:sz="0" w:space="0" w:color="auto"/>
          <w:bottom w:val="single" w:sz="2" w:space="0" w:color="auto"/>
          <w:right w:val="none" w:sz="0" w:space="0" w:color="auto"/>
          <w:insideH w:val="dotted" w:sz="4" w:space="0" w:color="auto"/>
          <w:insideV w:val="none" w:sz="0" w:space="0" w:color="auto"/>
        </w:tblBorders>
        <w:tblLook w:val="04A0" w:firstRow="1" w:lastRow="0" w:firstColumn="1" w:lastColumn="0" w:noHBand="0" w:noVBand="1"/>
      </w:tblPr>
      <w:tblGrid>
        <w:gridCol w:w="1701"/>
        <w:gridCol w:w="7927"/>
      </w:tblGrid>
      <w:tr w14:paraId="A00000C6" w14:textId="77777777">
        <w:tc>
          <w:tcPr>
            <w:tcW w:w="1701" w:type="dxa"/>
          </w:tcPr>
          <w:p w14:paraId="A00000C7" w14:textId="77777777" w:rsidR="009D47C4" w:rsidRDefault="009D47C4" w:rsidP="00C654E5">
            <w:pPr>
              <w:pStyle w:val="TableText"/>
              <w:rPr>
                <w:rFonts w:ascii="Aptos SemiBold" w:hAnsi="Aptos SemiBold"/>
              </w:rPr>
            </w:pPr>
            <w:r>
              <w:rPr>
                <w:rFonts w:ascii="Aptos SemiBold" w:hAnsi="Aptos SemiBold"/>
              </w:rPr>
              <w:t>Hansard pages</w:t>
            </w:r>
          </w:p>
        </w:tc>
        <w:tc>
          <w:tcPr>
            <w:tcW w:w="7927" w:type="dxa"/>
          </w:tcPr>
          <w:p w14:paraId="A00000C8" w14:textId="77777777" w:rsidR="009D47C4" w:rsidRDefault="009D47C4" w:rsidP="00C654E5">
            <w:pPr>
              <w:pStyle w:val="TableText"/>
            </w:pPr>
            <w:r>
              <w:t xml:space="preserve">pp. 63 – 85 (approx.)</w:t>
            </w:r>
          </w:p>
        </w:tc>
      </w:tr>
      <w:tr w14:paraId="A00000C9" w14:textId="77777777">
        <w:tc>
          <w:tcPr>
            <w:tcW w:w="1701" w:type="dxa"/>
          </w:tcPr>
          <w:p w14:paraId="A00000CA" w14:textId="77777777" w:rsidR="009D47C4" w:rsidRDefault="009D47C4" w:rsidP="00C654E5">
            <w:pPr>
              <w:pStyle w:val="TableText"/>
              <w:rPr>
                <w:rFonts w:ascii="Aptos SemiBold" w:hAnsi="Aptos SemiBold"/>
              </w:rPr>
            </w:pPr>
            <w:r>
              <w:rPr>
                <w:rFonts w:ascii="Aptos SemiBold" w:hAnsi="Aptos SemiBold"/>
              </w:rPr>
              <w:t>Witnesses</w:t>
            </w:r>
          </w:p>
        </w:tc>
        <w:tc>
          <w:tcPr>
            <w:tcW w:w="7927" w:type="dxa"/>
          </w:tcPr>
          <w:p w14:paraId="A00000CB" w14:textId="77777777" w:rsidR="009D47C4" w:rsidRDefault="009D47C4" w:rsidP="00C654E5">
            <w:pPr>
              <w:pStyle w:val="TableText"/>
            </w:pPr>
            <w:r>
              <w:t xml:space="preserve">Matthew Kandelaars (Group Executive, Policy and Advocacy, Property Council) — by video link; Eleanor Sondergeld (National Policy Manager, Sustainability and Regulatory Affairs, Property Council) — by video link; Rachel Parry (Deputy Secretary, DCCEEW); Shane Gaddes (Head of Division, Environment Law Reform Taskforce, DCCEEW); Blaine Wentworth (Acting Branch Head, Policy and Legislation Branch, DCCEEW); Declan O'Connor-Cox (Acting Head of Division, Environment Regulation Division, DCCEEW); Greg Manning (Head of Division, Environment Policy, Regions and Markets, DCCEEW); Anna-Liisa Lahtinen (Acting Branch Head, Reform Strategy, DCCEEW); Prof. Iain Gordon (Chair, Threatened Species Scientific Committee)</w:t>
            </w:r>
          </w:p>
        </w:tc>
      </w:tr>
    </w:tbl>
    <w:p w14:paraId="A00000CC" w14:textId="77777777" w:rsidR="009D47C4" w:rsidRDefault="009D47C4">
      <w:pPr>
        <w:pStyle w:val="Heading3"/>
      </w:pPr>
      <w:r>
        <w:t>L1 — The record</w:t>
      </w:r>
    </w:p>
    <w:p w14:paraId="A00000CD" w14:textId="77777777" w:rsidR="00BD71B1" w:rsidRDefault="00BD71B1">
      <w:pPr>
        <w:pStyle w:val="ListParagraph"/>
        <w:ind w:left="454" w:hanging="454"/>
      </w:pPr>
      <w:r>
        <w:t xml:space="preserve">1.  Property Council appeared by video link and was questioned briefly on support for the August 2025 streamlined approvals for 26,000 homes</w:t>
      </w:r>
    </w:p>
    <w:p w14:paraId="A00000CE" w14:textId="77777777" w:rsidR="00BD71B1" w:rsidRDefault="00BD71B1">
      <w:pPr>
        <w:pStyle w:val="ListParagraph"/>
        <w:ind w:left="454" w:hanging="454"/>
      </w:pPr>
      <w:r>
        <w:t xml:space="preserve">2.  DCCEEW officials then appeared for the remainder of the afternoon</w:t>
      </w:r>
    </w:p>
    <w:p w14:paraId="A00000CF" w14:textId="77777777" w:rsidR="00BD71B1" w:rsidRDefault="00BD71B1">
      <w:pPr>
        <w:pStyle w:val="ListParagraph"/>
        <w:ind w:left="454" w:hanging="454"/>
      </w:pPr>
      <w:r>
        <w:t xml:space="preserve">3.  Officials questioned by Senators Henderson, Hanson-Young, Grogan, Pocock, McDonald, and Duniam</w:t>
      </w:r>
    </w:p>
    <w:p w14:paraId="A00000D0" w14:textId="77777777" w:rsidR="00BD71B1" w:rsidRDefault="00BD71B1">
      <w:pPr>
        <w:pStyle w:val="ListParagraph"/>
        <w:ind w:left="454" w:hanging="454"/>
      </w:pPr>
      <w:r>
        <w:t xml:space="preserve">4.  Key topics (officials):</w:t>
      </w:r>
    </w:p>
    <w:p w14:paraId="A00000D1" w14:textId="77777777" w:rsidR="00BD71B1" w:rsidRDefault="00BD71B1">
      <w:pPr>
        <w:pStyle w:val="ListParagraph"/>
        <w:ind w:left="908" w:hanging="454"/>
      </w:pPr>
      <w:r>
        <w:t xml:space="preserve">a.  Consultation process (minister met 100+, department met 160+ over 6 months)</w:t>
      </w:r>
    </w:p>
    <w:p w14:paraId="A00000D2" w14:textId="77777777" w:rsidR="00BD71B1" w:rsidRDefault="00BD71B1">
      <w:pPr>
        <w:pStyle w:val="ListParagraph"/>
        <w:ind w:left="908" w:hanging="454"/>
      </w:pPr>
      <w:r>
        <w:t xml:space="preserve">b.  Unacceptable impacts criteria — design, expert input, and relationship to existing guidelines</w:t>
      </w:r>
    </w:p>
    <w:p w14:paraId="A00000D3" w14:textId="77777777" w:rsidR="00BD71B1" w:rsidRDefault="00BD71B1">
      <w:pPr>
        <w:pStyle w:val="ListParagraph"/>
        <w:ind w:left="908" w:hanging="454"/>
      </w:pPr>
      <w:r>
        <w:t xml:space="preserve">c.  Assessment pathways and historical usage data</w:t>
      </w:r>
    </w:p>
    <w:p w14:paraId="A00000D4" w14:textId="77777777" w:rsidR="00BD71B1" w:rsidRDefault="00BD71B1">
      <w:pPr>
        <w:pStyle w:val="ListParagraph"/>
        <w:ind w:left="908" w:hanging="454"/>
      </w:pPr>
      <w:r>
        <w:t xml:space="preserve">d.  National interest exemption mechanics (at end of assessment pathway, not a separate fast-track)</w:t>
      </w:r>
    </w:p>
    <w:p w14:paraId="A00000D5" w14:textId="77777777" w:rsidR="00BD71B1" w:rsidRDefault="00BD71B1">
      <w:pPr>
        <w:pStyle w:val="ListParagraph"/>
        <w:ind w:left="908" w:hanging="454"/>
      </w:pPr>
      <w:r>
        <w:t xml:space="preserve">e.  Streamlined pathway: uptake estimate (60%), absence of KPIs, limits on public consultation</w:t>
      </w:r>
    </w:p>
    <w:p w14:paraId="A00000D6" w14:textId="77777777" w:rsidR="00BD71B1" w:rsidRDefault="00BD71B1">
      <w:pPr>
        <w:pStyle w:val="ListParagraph"/>
        <w:ind w:left="908" w:hanging="454"/>
      </w:pPr>
      <w:r>
        <w:t xml:space="preserve">f.  Coal and gas access to streamlined pathway</w:t>
      </w:r>
    </w:p>
    <w:p w14:paraId="A00000D7" w14:textId="77777777" w:rsidR="00BD71B1" w:rsidRDefault="00BD71B1">
      <w:pPr>
        <w:pStyle w:val="ListParagraph"/>
        <w:ind w:left="908" w:hanging="454"/>
      </w:pPr>
      <w:r>
        <w:t xml:space="preserve">g.  Bilateral accreditation requirements</w:t>
      </w:r>
    </w:p>
    <w:p w14:paraId="A00000D8" w14:textId="77777777" w:rsidR="00BD71B1" w:rsidRDefault="00BD71B1">
      <w:pPr>
        <w:pStyle w:val="ListParagraph"/>
        <w:ind w:left="908" w:hanging="454"/>
      </w:pPr>
      <w:r>
        <w:t xml:space="preserve">h.  NOPSEMA accreditation model</w:t>
      </w:r>
    </w:p>
    <w:p w14:paraId="A00000D9" w14:textId="77777777" w:rsidR="00BD71B1" w:rsidRDefault="00BD71B1">
      <w:pPr>
        <w:pStyle w:val="ListParagraph"/>
        <w:ind w:left="908" w:hanging="454"/>
      </w:pPr>
      <w:r>
        <w:t xml:space="preserve">i.  Ministerial discretion scope</w:t>
      </w:r>
    </w:p>
    <w:p w14:paraId="A00000DA" w14:textId="77777777" w:rsidR="00BD71B1" w:rsidRDefault="00BD71B1">
      <w:pPr>
        <w:pStyle w:val="ListParagraph"/>
        <w:ind w:left="908" w:hanging="454"/>
      </w:pPr>
      <w:r>
        <w:t xml:space="preserve">j.  Emissions disclosure — purpose and decision-making function</w:t>
      </w:r>
    </w:p>
    <w:p w14:paraId="A00000DB" w14:textId="77777777" w:rsidR="00BD71B1" w:rsidRDefault="00BD71B1">
      <w:pPr>
        <w:pStyle w:val="ListParagraph"/>
        <w:ind w:left="908" w:hanging="454"/>
      </w:pPr>
      <w:r>
        <w:t xml:space="preserve">k.  Species protection outcomes</w:t>
      </w:r>
    </w:p>
    <w:p w14:paraId="A00000DC" w14:textId="77777777" w:rsidR="00BD71B1" w:rsidRDefault="00BD71B1">
      <w:pPr>
        <w:pStyle w:val="ListParagraph"/>
        <w:ind w:left="454" w:hanging="454"/>
      </w:pPr>
      <w:r>
        <w:t xml:space="preserve">5.  Senator Hanson-Young asked officials directly: 'What animal will you stop from going extinct under this legislation?' — officials were unable to name one</w:t>
      </w:r>
    </w:p>
    <w:p w14:paraId="A00000DD" w14:textId="77777777" w:rsidR="00BD71B1" w:rsidRDefault="00BD71B1">
      <w:pPr>
        <w:pStyle w:val="ListParagraph"/>
        <w:ind w:left="454" w:hanging="454"/>
      </w:pPr>
      <w:r>
        <w:t xml:space="preserve">6.  Prof. Iain Gordon (TSSC Chair) confirmed: 2,175 species currently listed; government has not asked TSSC to assess species-level outcomes; TSSC was finalising its own submission</w:t>
      </w:r>
    </w:p>
    <w:p w14:paraId="A00000DE" w14:textId="77777777" w:rsidR="00BD71B1" w:rsidRDefault="00BD71B1">
      <w:pPr>
        <w:pStyle w:val="ListParagraph"/>
        <w:ind w:left="454" w:hanging="454"/>
      </w:pPr>
      <w:r>
        <w:t xml:space="preserve">7.  Senator Henderson placed two questions on notice (see L4)</w:t>
      </w:r>
    </w:p>
    <w:p w14:paraId="A00000DF" w14:textId="77777777" w:rsidR="00BD71B1" w:rsidRDefault="00BD71B1">
      <w:pPr>
        <w:pStyle w:val="ListParagraph"/>
        <w:ind w:left="454" w:hanging="454"/>
      </w:pPr>
      <w:r>
        <w:t xml:space="preserve">8.  Assessment pathway usage data requested but could not be provided on the day</w:t>
      </w:r>
    </w:p>
    <w:p w14:paraId="A00000E0" w14:textId="77777777" w:rsidR="009D47C4" w:rsidRDefault="009D47C4">
      <w:pPr>
        <w:pStyle w:val="Heading3"/>
      </w:pPr>
      <w:r>
        <w:t>L2 — Legislative and policy signal</w:t>
      </w:r>
    </w:p>
    <w:p w14:paraId="A00000E1" w14:textId="77777777" w:rsidR="00BD71B1" w:rsidRDefault="00BD71B1">
      <w:pPr>
        <w:pStyle w:val="ListParagraph"/>
        <w:ind w:left="454" w:hanging="454"/>
      </w:pPr>
      <w:r>
        <w:t xml:space="preserve">1.  Unacceptable impacts — officials defended the criteria as providing clarity compared to the EPBC's undefined test; described four post-commencement pathways: accredited assessment, streamlined assessment, EIS, and public inquiry</w:t>
      </w:r>
    </w:p>
    <w:p w14:paraId="A00000E2" w14:textId="77777777" w:rsidR="00BD71B1" w:rsidRDefault="00BD71B1">
      <w:pPr>
        <w:pStyle w:val="ListParagraph"/>
        <w:ind w:left="454" w:hanging="454"/>
      </w:pPr>
      <w:r>
        <w:t xml:space="preserve">2.  National interest exemption — officials clarified the exemption sits at the END of the normal assessment pathway; full assessment must be completed and full conditioning imposed before the exemption applies to any residual element; described as a 'substantial improvement' on the existing EPBC exemption (which exempts the entire process); this explanation is clearer than previous public communications and should be incorporated into all future ministerial materials</w:t>
      </w:r>
    </w:p>
    <w:p w14:paraId="A00000E3" w14:textId="77777777" w:rsidR="00BD71B1" w:rsidRDefault="00BD71B1">
      <w:pPr>
        <w:pStyle w:val="ListParagraph"/>
        <w:ind w:left="454" w:hanging="454"/>
      </w:pPr>
      <w:r>
        <w:t xml:space="preserve">3.  Streamlined pathway — officials estimated 60 per cent of projects would use the streamlined pathway initially; no KPIs or formal uptake targets; acknowledged the pathway limits public consultation compared to existing pathways; coal and gas confirmed to have access</w:t>
      </w:r>
    </w:p>
    <w:p w14:paraId="A00000E4" w14:textId="77777777" w:rsidR="00BD71B1" w:rsidRDefault="00BD71B1">
      <w:pPr>
        <w:pStyle w:val="ListParagraph"/>
        <w:ind w:left="454" w:hanging="454"/>
      </w:pPr>
      <w:r>
        <w:t xml:space="preserve">4.  Bilateral accreditation — state legislation, policies, and processes must meet NES, prohibit unacceptable impacts, and achieve net gain before accreditation; if states cannot meet those standards, they will not be accredited and may need to change their processes</w:t>
      </w:r>
    </w:p>
    <w:p w14:paraId="A00000E5" w14:textId="77777777" w:rsidR="00BD71B1" w:rsidRDefault="00BD71B1">
      <w:pPr>
        <w:pStyle w:val="ListParagraph"/>
        <w:ind w:left="454" w:hanging="454"/>
      </w:pPr>
      <w:r>
        <w:t xml:space="preserve">5.  Emissions disclosure — scopes 1 and 2 only, applying across all pathways; purpose described as information gathering for the Environmental Information Agency; officials could not articulate a decision-making function beyond information collection</w:t>
      </w:r>
    </w:p>
    <w:p w14:paraId="A00000E6" w14:textId="77777777" w:rsidR="00BD71B1" w:rsidRDefault="00BD71B1">
      <w:pPr>
        <w:pStyle w:val="ListParagraph"/>
        <w:ind w:left="454" w:hanging="454"/>
      </w:pPr>
      <w:r>
        <w:t xml:space="preserve">6.  NOPSEMA — cited as evidence of specialist regulatory capacity; easier to adjust regime via OPGGS Act regulations than through strategic assessment</w:t>
      </w:r>
    </w:p>
    <w:p w14:paraId="A00000E7" w14:textId="77777777" w:rsidR="009D47C4" w:rsidRDefault="009D47C4">
      <w:pPr>
        <w:pStyle w:val="Heading3"/>
      </w:pPr>
      <w:r>
        <w:t>L3 — Political intelligence</w:t>
      </w:r>
    </w:p>
    <w:p w14:paraId="A00000E8" w14:textId="77777777" w:rsidR="00BD71B1" w:rsidRDefault="00BD71B1">
      <w:pPr>
        <w:pStyle w:val="ListParagraph"/>
        <w:ind w:left="454" w:hanging="454"/>
      </w:pPr>
      <w:r>
        <w:t xml:space="preserve">1.  Senator Henderson's QoNs on departmental advices and undisclosed amendments are the most politically significant moment of the officials' session; they signal the Coalition intends to use the discovery process to examine whether internal legal advice contradicts public statements on unacceptable impacts criteria</w:t>
      </w:r>
    </w:p>
    <w:p w14:paraId="A00000E9" w14:textId="77777777" w:rsidR="00BD71B1" w:rsidRDefault="00BD71B1">
      <w:pPr>
        <w:pStyle w:val="ListParagraph"/>
        <w:ind w:left="454" w:hanging="454"/>
      </w:pPr>
      <w:r>
        <w:t xml:space="preserve">2.  Senator Hanson-Young's 'what animal' question was a rhetorical trap that officials walked into; the inability to name a species created a clean attack line that is already in environmental media and will recur</w:t>
      </w:r>
    </w:p>
    <w:p w14:paraId="A00000EA" w14:textId="77777777" w:rsidR="00BD71B1" w:rsidRDefault="00BD71B1">
      <w:pPr>
        <w:pStyle w:val="ListParagraph"/>
        <w:ind w:left="454" w:hanging="454"/>
      </w:pPr>
      <w:r>
        <w:t xml:space="preserve">3.  Government senators (Grogan, Ananda-Rajah) were visibly uncomfortable with some official answers, particularly on streamlined pathway and coal/gas access; no explicit friction with officials but the political cost of confirming coal/gas access to the streamlined pathway is significant for Greens negotiations</w:t>
      </w:r>
    </w:p>
    <w:p w14:paraId="A00000EB" w14:textId="77777777" w:rsidR="009D47C4" w:rsidRDefault="009D47C4">
      <w:pPr>
        <w:pStyle w:val="Heading3"/>
      </w:pPr>
      <w:r>
        <w:t>L4 — Risk and exposure</w:t>
      </w:r>
    </w:p>
    <w:p w14:paraId="A00000EC" w14:textId="77777777" w:rsidR="00BD71B1" w:rsidRDefault="00BD71B1">
      <w:pPr>
        <w:pStyle w:val="ListParagraph"/>
        <w:ind w:left="454" w:hanging="454"/>
      </w:pPr>
      <w:r>
        <w:t xml:space="preserve">1.  QoN 1 — Senator Henderson to DCCEEW: provide copies of all departmental advices to the minister on unacceptable impacts criteria; status: outstanding (standard Senate timeline)</w:t>
      </w:r>
    </w:p>
    <w:p w14:paraId="A00000ED" w14:textId="77777777" w:rsidR="00BD71B1" w:rsidRDefault="00BD71B1">
      <w:pPr>
        <w:pStyle w:val="ListParagraph"/>
        <w:ind w:left="454" w:hanging="454"/>
      </w:pPr>
      <w:r>
        <w:t xml:space="preserve">2.  QoN 2 — Senator Henderson to DCCEEW: provide a summary of proposed amendments drafted by the department not yet made public; status: outstanding (standard Senate timeline)</w:t>
      </w:r>
    </w:p>
    <w:p w14:paraId="A00000EE" w14:textId="77777777" w:rsidR="00BD71B1" w:rsidRDefault="00BD71B1">
      <w:pPr>
        <w:pStyle w:val="ListParagraph"/>
        <w:ind w:left="454" w:hanging="454"/>
      </w:pPr>
      <w:r>
        <w:t xml:space="preserve">3.  QoN 3 — Multiple senators to DCCEEW: breakdown of most-used current EPBC assessment pathways and their proportions; could not be provided on the day; status: outstanding</w:t>
      </w:r>
    </w:p>
    <w:p w14:paraId="A00000EF" w14:textId="77777777" w:rsidR="00BD71B1" w:rsidRDefault="00BD71B1">
      <w:pPr>
        <w:pStyle w:val="ListParagraph"/>
        <w:ind w:left="454" w:hanging="454"/>
      </w:pPr>
      <w:r>
        <w:t xml:space="preserve">4.  Exposure (high): the 'what animal' exchange is the most visible public exposure point from the entire hearing; requires a direct communications response — ideally a list of species with specific protective mechanism analysis prepared with TSSC input</w:t>
      </w:r>
    </w:p>
    <w:p w14:paraId="A00000F0" w14:textId="77777777" w:rsidR="00BD71B1" w:rsidRDefault="00BD71B1">
      <w:pPr>
        <w:pStyle w:val="ListParagraph"/>
        <w:ind w:left="454" w:hanging="454"/>
      </w:pPr>
      <w:r>
        <w:t xml:space="preserve">5.  Exposure (medium): officials confirmed no KPIs for streamlined pathway uptake beyond the initial 60 per cent estimate; if the pathway underperforms, there is no accountability mechanism; the committee may recommend mandatory reporting</w:t>
      </w:r>
    </w:p>
    <w:p w14:paraId="A00000F1" w14:textId="77777777" w:rsidR="00BD71B1" w:rsidRDefault="00BD71B1">
      <w:pPr>
        <w:pStyle w:val="ListParagraph"/>
        <w:ind w:left="454" w:hanging="454"/>
      </w:pPr>
      <w:r>
        <w:t xml:space="preserve">6.  Exposure (medium): the emissions disclosure purpose gap remains unresolved on the public record after three separate witness blocs raised it</w:t>
      </w:r>
    </w:p>
    <w:p w14:paraId="A00000F2" w14:textId="77777777" w:rsidR="009D47C4" w:rsidRDefault="009D47C4">
      <w:pPr>
        <w:pStyle w:val="Heading3"/>
      </w:pPr>
      <w:r>
        <w:t>L5 — Forward look</w:t>
      </w:r>
    </w:p>
    <w:p w14:paraId="A00000F3" w14:textId="77777777" w:rsidR="00BD71B1" w:rsidRDefault="00BD71B1">
      <w:pPr>
        <w:pStyle w:val="ListParagraph"/>
        <w:ind w:left="454" w:hanging="454"/>
      </w:pPr>
      <w:r>
        <w:t xml:space="preserve">1.  QoN responses are the most immediate forward obligation; the departmental advices QoN (Henderson QoN 1) requires careful legal review — internal legal advice that contradicts the public position on unacceptable impacts criteria creates significant risk if disclosed without context; brief the Secretary's office before responses are finalised</w:t>
      </w:r>
    </w:p>
    <w:p w14:paraId="A00000F4" w14:textId="77777777" w:rsidR="00BD71B1" w:rsidRDefault="00BD71B1">
      <w:pPr>
        <w:pStyle w:val="ListParagraph"/>
        <w:ind w:left="454" w:hanging="454"/>
      </w:pPr>
      <w:r>
        <w:t xml:space="preserve">2.  The TSSC submission will be the most consequential external document produced during the inquiry; obtain it immediately on publication and prepare a detailed technical response</w:t>
      </w:r>
    </w:p>
    <w:p w14:paraId="A00000F5" w14:textId="77777777" w:rsidR="00BD71B1" w:rsidRDefault="00BD71B1">
      <w:pPr>
        <w:pStyle w:val="ListParagraph"/>
        <w:ind w:left="454" w:hanging="454"/>
      </w:pPr>
      <w:r>
        <w:t xml:space="preserve">3.  The government's inability to name species creates an evidentiary gap the TSSC submission will fill — its conclusions will shape committee recommendations on unacceptable impacts and MNES scope</w:t>
      </w:r>
    </w:p>
    <w:p w14:paraId="A00000F6" w14:textId="77777777" w:rsidR="00BD71B1" w:rsidRDefault="00BD71B1">
      <w:pPr>
        <w:pStyle w:val="ListParagraph"/>
        <w:ind w:left="454" w:hanging="454"/>
      </w:pPr>
      <w:r>
        <w:t xml:space="preserve">4.  Before the next hearing DCCEEW should prepare:</w:t>
      </w:r>
    </w:p>
    <w:p w14:paraId="A00000F7" w14:textId="77777777" w:rsidR="00BD71B1" w:rsidRDefault="00BD71B1">
      <w:pPr>
        <w:pStyle w:val="ListParagraph"/>
        <w:ind w:left="908" w:hanging="454"/>
      </w:pPr>
      <w:r>
        <w:t xml:space="preserve">a.  A worked example of the national interest exemption operating at the end of the assessment pathway</w:t>
      </w:r>
    </w:p>
    <w:p w14:paraId="A00000F8" w14:textId="77777777" w:rsidR="00BD71B1" w:rsidRDefault="00BD71B1">
      <w:pPr>
        <w:pStyle w:val="ListParagraph"/>
        <w:ind w:left="908" w:hanging="454"/>
      </w:pPr>
      <w:r>
        <w:t xml:space="preserve">b.  A clear explanation of what emissions disclosure data is used for and by whom</w:t>
      </w:r>
    </w:p>
    <w:p w14:paraId="A00000F9" w14:textId="77777777" w:rsidR="00BD71B1" w:rsidRDefault="00BD71B1">
      <w:pPr>
        <w:pStyle w:val="ListParagraph"/>
        <w:ind w:left="908" w:hanging="454"/>
      </w:pPr>
      <w:r>
        <w:t xml:space="preserve">c.  QoN responses to all three outstanding items</w:t>
      </w:r>
    </w:p>
    <w:p w14:paraId="A00000FA" w14:textId="77777777" w:rsidR="00BD71B1" w:rsidRDefault="00BD71B1">
      <w:pPr>
        <w:pStyle w:val="ListParagraph"/>
        <w:ind w:left="908" w:hanging="454"/>
      </w:pPr>
      <w:r>
        <w:t xml:space="preserve">d.  A species-outcomes brief prepared with TSSC input</w:t>
      </w:r>
    </w:p>
    <w:p w14:paraId="A00000FB" w14:textId="77777777" w:rsidR="00BD71B1" w:rsidRDefault="00BD71B1">
      <w:pPr>
        <w:pStyle w:val="ListParagraph"/>
        <w:ind w:left="908" w:hanging="454"/>
      </w:pPr>
      <w:r>
        <w:t xml:space="preserve">e.  An assessment pathway usage data table</w:t>
      </w:r>
    </w:p>
    <w:p w14:paraId="1D8D5540" w14:textId="20854D02" w:rsidR="009D47C4" w:rsidRDefault="009D47C4">
      <w:pPr>
        <w:spacing w:after="0" w:line="240" w:lineRule="auto"/>
        <w:rPr>
          <w:color w:val="083A42"/>
          <w:sz w:val="33"/>
          <w:szCs w:val="33"/>
        </w:rPr>
      </w:pPr>
      <w:r>
        <w:t/>
      </w:r>
      <w:r>
        <w:br w:type="page"/>
      </w:r>
    </w:p>
    <w:p w14:paraId="1058BBD0" w14:textId="030BE203" w:rsidR="00BD71B1" w:rsidRDefault="00000000" w:rsidP="002D3FA7">
      <w:pPr>
        <w:pStyle w:val="Heading1"/>
      </w:pPr>
      <w:r w:rsidRPr="009D47C4">
        <w:rPr>
          <w:rFonts w:ascii="Aptos SemiBold" w:hAnsi="Aptos SemiBold"/>
        </w:rPr>
        <w:t>Part C:</w:t>
      </w:r>
      <w:r w:rsidR="009D47C4">
        <w:t> </w:t>
      </w:r>
      <w:r>
        <w:t>Quick reference</w:t>
      </w:r>
    </w:p>
    <w:p w14:paraId="5A28636C" w14:textId="77777777" w:rsidR="00BD71B1" w:rsidRDefault="00000000" w:rsidP="009D47C4">
      <w:pPr>
        <w:pStyle w:val="Heading3"/>
      </w:pPr>
      <w:r>
        <w:t>Table 1: Commitments and questions on notice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4" w:type="dxa"/>
          <w:right w:w="74" w:type="dxa"/>
        </w:tblCellMar>
        <w:tblLook w:val="04A0" w:firstRow="1" w:lastRow="0" w:firstColumn="1" w:lastColumn="0" w:noHBand="0" w:noVBand="1"/>
      </w:tblPr>
      <w:tblGrid>
        <w:gridCol w:w="600"/>
        <w:gridCol w:w="3762"/>
        <w:gridCol w:w="2082"/>
        <w:gridCol w:w="1491"/>
        <w:gridCol w:w="1703"/>
      </w:tblGrid>
      <w:tr w:rsidR="009D47C4" w:rsidRPr="009D47C4" w14:paraId="178AB6CD" w14:textId="77777777" w:rsidTr="009D47C4">
        <w:tblPrEx>
          <w:tblCellMar>
            <w:top w:w="0" w:type="dxa"/>
            <w:bottom w:w="0" w:type="dxa"/>
          </w:tblCellMar>
        </w:tblPrEx>
        <w:trPr>
          <w:tblHeader/>
        </w:trPr>
        <w:tc>
          <w:tcPr>
            <w:tcW w:w="600" w:type="dxa"/>
            <w:tcBorders>
              <w:top w:val="single" w:sz="2" w:space="0" w:color="083A42"/>
              <w:left w:val="single" w:sz="2" w:space="0" w:color="083A42"/>
              <w:bottom w:val="single" w:sz="2" w:space="0" w:color="083A42"/>
              <w:right w:val="single" w:sz="2" w:space="0" w:color="083A42"/>
            </w:tcBorders>
            <w:shd w:val="clear" w:color="auto" w:fill="083A42"/>
          </w:tcPr>
          <w:p w14:paraId="402577E1" w14:textId="77777777" w:rsidR="00BD71B1" w:rsidRPr="009D47C4" w:rsidRDefault="00000000" w:rsidP="009D47C4">
            <w:pPr>
              <w:spacing w:before="50" w:after="50" w:line="240" w:lineRule="auto"/>
              <w:rPr>
                <w:color w:val="FFFFFF" w:themeColor="background1"/>
                <w:sz w:val="18"/>
                <w:szCs w:val="18"/>
              </w:rPr>
            </w:pPr>
            <w:r w:rsidRPr="009D47C4">
              <w:rPr>
                <w:color w:val="FFFFFF" w:themeColor="background1"/>
                <w:sz w:val="18"/>
                <w:szCs w:val="18"/>
              </w:rPr>
              <w:t>No.</w:t>
            </w:r>
          </w:p>
        </w:tc>
        <w:tc>
          <w:tcPr>
            <w:tcW w:w="3762" w:type="dxa"/>
            <w:tcBorders>
              <w:top w:val="single" w:sz="2" w:space="0" w:color="083A42"/>
              <w:left w:val="single" w:sz="2" w:space="0" w:color="083A42"/>
              <w:bottom w:val="single" w:sz="2" w:space="0" w:color="083A42"/>
              <w:right w:val="single" w:sz="2" w:space="0" w:color="083A42"/>
            </w:tcBorders>
            <w:shd w:val="clear" w:color="auto" w:fill="083A42"/>
          </w:tcPr>
          <w:p w14:paraId="7874C7EE" w14:textId="77777777" w:rsidR="00BD71B1" w:rsidRPr="009D47C4" w:rsidRDefault="00000000" w:rsidP="009D47C4">
            <w:pPr>
              <w:spacing w:before="50" w:after="50" w:line="240" w:lineRule="auto"/>
              <w:rPr>
                <w:color w:val="FFFFFF" w:themeColor="background1"/>
                <w:sz w:val="18"/>
                <w:szCs w:val="18"/>
              </w:rPr>
            </w:pPr>
            <w:r w:rsidRPr="009D47C4">
              <w:rPr>
                <w:color w:val="FFFFFF" w:themeColor="background1"/>
                <w:sz w:val="18"/>
                <w:szCs w:val="18"/>
              </w:rPr>
              <w:t>Question or commitment</w:t>
            </w:r>
          </w:p>
        </w:tc>
        <w:tc>
          <w:tcPr>
            <w:tcW w:w="2082" w:type="dxa"/>
            <w:tcBorders>
              <w:top w:val="single" w:sz="2" w:space="0" w:color="083A42"/>
              <w:left w:val="single" w:sz="2" w:space="0" w:color="083A42"/>
              <w:bottom w:val="single" w:sz="2" w:space="0" w:color="083A42"/>
              <w:right w:val="single" w:sz="2" w:space="0" w:color="083A42"/>
            </w:tcBorders>
            <w:shd w:val="clear" w:color="auto" w:fill="083A42"/>
          </w:tcPr>
          <w:p w14:paraId="3326E375" w14:textId="77777777" w:rsidR="00BD71B1" w:rsidRPr="009D47C4" w:rsidRDefault="00000000" w:rsidP="009D47C4">
            <w:pPr>
              <w:spacing w:before="50" w:after="50" w:line="240" w:lineRule="auto"/>
              <w:rPr>
                <w:color w:val="FFFFFF" w:themeColor="background1"/>
                <w:sz w:val="18"/>
                <w:szCs w:val="18"/>
              </w:rPr>
            </w:pPr>
            <w:r w:rsidRPr="009D47C4">
              <w:rPr>
                <w:color w:val="FFFFFF" w:themeColor="background1"/>
                <w:sz w:val="18"/>
                <w:szCs w:val="18"/>
              </w:rPr>
              <w:t>Witness</w:t>
            </w:r>
          </w:p>
        </w:tc>
        <w:tc>
          <w:tcPr>
            <w:tcW w:w="1491" w:type="dxa"/>
            <w:tcBorders>
              <w:top w:val="single" w:sz="2" w:space="0" w:color="083A42"/>
              <w:left w:val="single" w:sz="2" w:space="0" w:color="083A42"/>
              <w:bottom w:val="single" w:sz="2" w:space="0" w:color="083A42"/>
              <w:right w:val="single" w:sz="2" w:space="0" w:color="083A42"/>
            </w:tcBorders>
            <w:shd w:val="clear" w:color="auto" w:fill="083A42"/>
          </w:tcPr>
          <w:p w14:paraId="75F0CBDA" w14:textId="77777777" w:rsidR="00BD71B1" w:rsidRPr="009D47C4" w:rsidRDefault="00000000" w:rsidP="009D47C4">
            <w:pPr>
              <w:spacing w:before="50" w:after="50" w:line="240" w:lineRule="auto"/>
              <w:rPr>
                <w:color w:val="FFFFFF" w:themeColor="background1"/>
                <w:sz w:val="18"/>
                <w:szCs w:val="18"/>
              </w:rPr>
            </w:pPr>
            <w:r w:rsidRPr="009D47C4">
              <w:rPr>
                <w:color w:val="FFFFFF" w:themeColor="background1"/>
                <w:sz w:val="18"/>
                <w:szCs w:val="18"/>
              </w:rPr>
              <w:t>Senator</w:t>
            </w:r>
          </w:p>
        </w:tc>
        <w:tc>
          <w:tcPr>
            <w:tcW w:w="1703" w:type="dxa"/>
            <w:tcBorders>
              <w:top w:val="single" w:sz="2" w:space="0" w:color="083A42"/>
              <w:left w:val="single" w:sz="2" w:space="0" w:color="083A42"/>
              <w:bottom w:val="single" w:sz="2" w:space="0" w:color="083A42"/>
              <w:right w:val="single" w:sz="2" w:space="0" w:color="083A42"/>
            </w:tcBorders>
            <w:shd w:val="clear" w:color="auto" w:fill="083A42"/>
          </w:tcPr>
          <w:p w14:paraId="31C96DEC" w14:textId="6E03E4F7" w:rsidR="00BD71B1" w:rsidRPr="009D47C4" w:rsidRDefault="00000000" w:rsidP="009D47C4">
            <w:pPr>
              <w:spacing w:before="50" w:after="50" w:line="240" w:lineRule="auto"/>
              <w:rPr>
                <w:color w:val="FFFFFF" w:themeColor="background1"/>
                <w:sz w:val="18"/>
                <w:szCs w:val="18"/>
              </w:rPr>
            </w:pPr>
            <w:r w:rsidRPr="009D47C4">
              <w:rPr>
                <w:color w:val="FFFFFF" w:themeColor="background1"/>
                <w:sz w:val="18"/>
                <w:szCs w:val="18"/>
              </w:rPr>
              <w:t>Due date</w:t>
            </w:r>
            <w:r w:rsidR="009D47C4">
              <w:rPr>
                <w:color w:val="FFFFFF" w:themeColor="background1"/>
                <w:sz w:val="18"/>
                <w:szCs w:val="18"/>
              </w:rPr>
              <w:t>/</w:t>
            </w:r>
            <w:r w:rsidRPr="009D47C4">
              <w:rPr>
                <w:color w:val="FFFFFF" w:themeColor="background1"/>
                <w:sz w:val="18"/>
                <w:szCs w:val="18"/>
              </w:rPr>
              <w:t>status</w:t>
            </w:r>
          </w:p>
        </w:tc>
      </w:tr>
      <w:tr w:rsidR="00BD71B1" w14:paraId="5E55A19E" w14:textId="77777777" w:rsidTr="009D47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5F4"/>
          </w:tcPr>
          <w:p w14:paraId="3F939590" w14:textId="77777777" w:rsidR="00BD71B1" w:rsidRDefault="00BD71B1" w:rsidP="009D47C4">
            <w:pPr>
              <w:pStyle w:val="TableText"/>
            </w:pPr>
          </w:p>
        </w:tc>
        <w:tc>
          <w:tcPr>
            <w:tcW w:w="3762" w:type="dxa"/>
            <w:tcBorders>
              <w:top w:val="single" w:sz="1" w:space="0" w:color="CCCCCC"/>
              <w:left w:val="single" w:sz="1" w:space="0" w:color="CCCCCC"/>
              <w:bottom w:val="single" w:sz="1" w:space="0" w:color="CCCCCC"/>
              <w:right w:val="single" w:sz="1" w:space="0" w:color="CCCCCC"/>
            </w:tcBorders>
            <w:shd w:val="clear" w:color="auto" w:fill="E8F5F4"/>
          </w:tcPr>
          <w:p w14:paraId="1BDD8CE8" w14:textId="7268FF5A" w:rsidR="00BD71B1" w:rsidRDefault="00BD71B1" w:rsidP="009D47C4">
            <w:pPr>
              <w:pStyle w:val="TableText"/>
            </w:pPr>
          </w:p>
        </w:tc>
        <w:tc>
          <w:tcPr>
            <w:tcW w:w="2082" w:type="dxa"/>
            <w:tcBorders>
              <w:top w:val="single" w:sz="1" w:space="0" w:color="CCCCCC"/>
              <w:left w:val="single" w:sz="1" w:space="0" w:color="CCCCCC"/>
              <w:bottom w:val="single" w:sz="1" w:space="0" w:color="CCCCCC"/>
              <w:right w:val="single" w:sz="1" w:space="0" w:color="CCCCCC"/>
            </w:tcBorders>
            <w:shd w:val="clear" w:color="auto" w:fill="E8F5F4"/>
          </w:tcPr>
          <w:p w14:paraId="1D7360B9" w14:textId="77777777" w:rsidR="00BD71B1" w:rsidRDefault="00BD71B1" w:rsidP="009D47C4">
            <w:pPr>
              <w:pStyle w:val="TableText"/>
            </w:pPr>
          </w:p>
        </w:tc>
        <w:tc>
          <w:tcPr>
            <w:tcW w:w="1491" w:type="dxa"/>
            <w:tcBorders>
              <w:top w:val="single" w:sz="1" w:space="0" w:color="CCCCCC"/>
              <w:left w:val="single" w:sz="1" w:space="0" w:color="CCCCCC"/>
              <w:bottom w:val="single" w:sz="1" w:space="0" w:color="CCCCCC"/>
              <w:right w:val="single" w:sz="1" w:space="0" w:color="CCCCCC"/>
            </w:tcBorders>
            <w:shd w:val="clear" w:color="auto" w:fill="E8F5F4"/>
          </w:tcPr>
          <w:p w14:paraId="6E5254C6" w14:textId="77777777" w:rsidR="00BD71B1" w:rsidRDefault="00BD71B1" w:rsidP="009D47C4">
            <w:pPr>
              <w:pStyle w:val="TableText"/>
            </w:pPr>
          </w:p>
        </w:tc>
        <w:tc>
          <w:tcPr>
            <w:tcW w:w="1703" w:type="dxa"/>
            <w:tcBorders>
              <w:top w:val="single" w:sz="1" w:space="0" w:color="CCCCCC"/>
              <w:left w:val="single" w:sz="1" w:space="0" w:color="CCCCCC"/>
              <w:bottom w:val="single" w:sz="1" w:space="0" w:color="CCCCCC"/>
              <w:right w:val="single" w:sz="1" w:space="0" w:color="CCCCCC"/>
            </w:tcBorders>
            <w:shd w:val="clear" w:color="auto" w:fill="E8F5F4"/>
          </w:tcPr>
          <w:p w14:paraId="678B1947" w14:textId="77777777" w:rsidR="00BD71B1" w:rsidRDefault="00BD71B1" w:rsidP="009D47C4">
            <w:pPr>
              <w:pStyle w:val="TableText"/>
            </w:pPr>
          </w:p>
        </w:tc>
      </w:tr>
      <w:tr w:rsidR="00BD71B1" w14:paraId="57B218F5" w14:textId="77777777" w:rsidTr="009D47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Pr>
          <w:p w14:paraId="162608A9" w14:textId="77777777" w:rsidR="00BD71B1" w:rsidRDefault="00BD71B1" w:rsidP="009D47C4">
            <w:pPr>
              <w:pStyle w:val="TableText"/>
            </w:pPr>
          </w:p>
        </w:tc>
        <w:tc>
          <w:tcPr>
            <w:tcW w:w="3762" w:type="dxa"/>
            <w:tcBorders>
              <w:top w:val="single" w:sz="1" w:space="0" w:color="CCCCCC"/>
              <w:left w:val="single" w:sz="1" w:space="0" w:color="CCCCCC"/>
              <w:bottom w:val="single" w:sz="1" w:space="0" w:color="CCCCCC"/>
              <w:right w:val="single" w:sz="1" w:space="0" w:color="CCCCCC"/>
            </w:tcBorders>
            <w:shd w:val="clear" w:color="auto" w:fill="FFFFFF"/>
          </w:tcPr>
          <w:p w14:paraId="4C270234" w14:textId="77777777" w:rsidR="00BD71B1" w:rsidRDefault="00BD71B1" w:rsidP="009D47C4">
            <w:pPr>
              <w:pStyle w:val="TableText"/>
            </w:pPr>
          </w:p>
        </w:tc>
        <w:tc>
          <w:tcPr>
            <w:tcW w:w="2082" w:type="dxa"/>
            <w:tcBorders>
              <w:top w:val="single" w:sz="1" w:space="0" w:color="CCCCCC"/>
              <w:left w:val="single" w:sz="1" w:space="0" w:color="CCCCCC"/>
              <w:bottom w:val="single" w:sz="1" w:space="0" w:color="CCCCCC"/>
              <w:right w:val="single" w:sz="1" w:space="0" w:color="CCCCCC"/>
            </w:tcBorders>
            <w:shd w:val="clear" w:color="auto" w:fill="FFFFFF"/>
          </w:tcPr>
          <w:p w14:paraId="0F8C5152" w14:textId="77777777" w:rsidR="00BD71B1" w:rsidRDefault="00BD71B1" w:rsidP="009D47C4">
            <w:pPr>
              <w:pStyle w:val="TableText"/>
            </w:pPr>
          </w:p>
        </w:tc>
        <w:tc>
          <w:tcPr>
            <w:tcW w:w="1491" w:type="dxa"/>
            <w:tcBorders>
              <w:top w:val="single" w:sz="1" w:space="0" w:color="CCCCCC"/>
              <w:left w:val="single" w:sz="1" w:space="0" w:color="CCCCCC"/>
              <w:bottom w:val="single" w:sz="1" w:space="0" w:color="CCCCCC"/>
              <w:right w:val="single" w:sz="1" w:space="0" w:color="CCCCCC"/>
            </w:tcBorders>
            <w:shd w:val="clear" w:color="auto" w:fill="FFFFFF"/>
          </w:tcPr>
          <w:p w14:paraId="151874C2" w14:textId="77777777" w:rsidR="00BD71B1" w:rsidRDefault="00BD71B1" w:rsidP="009D47C4">
            <w:pPr>
              <w:pStyle w:val="TableText"/>
            </w:pPr>
          </w:p>
        </w:tc>
        <w:tc>
          <w:tcPr>
            <w:tcW w:w="1703" w:type="dxa"/>
            <w:tcBorders>
              <w:top w:val="single" w:sz="1" w:space="0" w:color="CCCCCC"/>
              <w:left w:val="single" w:sz="1" w:space="0" w:color="CCCCCC"/>
              <w:bottom w:val="single" w:sz="1" w:space="0" w:color="CCCCCC"/>
              <w:right w:val="single" w:sz="1" w:space="0" w:color="CCCCCC"/>
            </w:tcBorders>
            <w:shd w:val="clear" w:color="auto" w:fill="FFFFFF"/>
          </w:tcPr>
          <w:p w14:paraId="6643F244" w14:textId="77777777" w:rsidR="00BD71B1" w:rsidRDefault="00BD71B1" w:rsidP="009D47C4">
            <w:pPr>
              <w:pStyle w:val="TableText"/>
            </w:pPr>
          </w:p>
        </w:tc>
      </w:tr>
      <w:tr w:rsidR="00BD71B1" w14:paraId="4C80A4E3" w14:textId="77777777" w:rsidTr="009D47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5F4"/>
          </w:tcPr>
          <w:p w14:paraId="66744B50" w14:textId="77777777" w:rsidR="00BD71B1" w:rsidRDefault="00BD71B1" w:rsidP="009D47C4">
            <w:pPr>
              <w:pStyle w:val="TableText"/>
            </w:pPr>
          </w:p>
        </w:tc>
        <w:tc>
          <w:tcPr>
            <w:tcW w:w="3762" w:type="dxa"/>
            <w:tcBorders>
              <w:top w:val="single" w:sz="1" w:space="0" w:color="CCCCCC"/>
              <w:left w:val="single" w:sz="1" w:space="0" w:color="CCCCCC"/>
              <w:bottom w:val="single" w:sz="1" w:space="0" w:color="CCCCCC"/>
              <w:right w:val="single" w:sz="1" w:space="0" w:color="CCCCCC"/>
            </w:tcBorders>
            <w:shd w:val="clear" w:color="auto" w:fill="E8F5F4"/>
          </w:tcPr>
          <w:p w14:paraId="167A33E0" w14:textId="77777777" w:rsidR="00BD71B1" w:rsidRDefault="00BD71B1" w:rsidP="009D47C4">
            <w:pPr>
              <w:pStyle w:val="TableText"/>
            </w:pPr>
          </w:p>
        </w:tc>
        <w:tc>
          <w:tcPr>
            <w:tcW w:w="2082" w:type="dxa"/>
            <w:tcBorders>
              <w:top w:val="single" w:sz="1" w:space="0" w:color="CCCCCC"/>
              <w:left w:val="single" w:sz="1" w:space="0" w:color="CCCCCC"/>
              <w:bottom w:val="single" w:sz="1" w:space="0" w:color="CCCCCC"/>
              <w:right w:val="single" w:sz="1" w:space="0" w:color="CCCCCC"/>
            </w:tcBorders>
            <w:shd w:val="clear" w:color="auto" w:fill="E8F5F4"/>
          </w:tcPr>
          <w:p w14:paraId="6924DCDB" w14:textId="77777777" w:rsidR="00BD71B1" w:rsidRDefault="00BD71B1" w:rsidP="009D47C4">
            <w:pPr>
              <w:pStyle w:val="TableText"/>
            </w:pPr>
          </w:p>
        </w:tc>
        <w:tc>
          <w:tcPr>
            <w:tcW w:w="1491" w:type="dxa"/>
            <w:tcBorders>
              <w:top w:val="single" w:sz="1" w:space="0" w:color="CCCCCC"/>
              <w:left w:val="single" w:sz="1" w:space="0" w:color="CCCCCC"/>
              <w:bottom w:val="single" w:sz="1" w:space="0" w:color="CCCCCC"/>
              <w:right w:val="single" w:sz="1" w:space="0" w:color="CCCCCC"/>
            </w:tcBorders>
            <w:shd w:val="clear" w:color="auto" w:fill="E8F5F4"/>
          </w:tcPr>
          <w:p w14:paraId="4639BE83" w14:textId="77777777" w:rsidR="00BD71B1" w:rsidRDefault="00BD71B1" w:rsidP="009D47C4">
            <w:pPr>
              <w:pStyle w:val="TableText"/>
            </w:pPr>
          </w:p>
        </w:tc>
        <w:tc>
          <w:tcPr>
            <w:tcW w:w="1703" w:type="dxa"/>
            <w:tcBorders>
              <w:top w:val="single" w:sz="1" w:space="0" w:color="CCCCCC"/>
              <w:left w:val="single" w:sz="1" w:space="0" w:color="CCCCCC"/>
              <w:bottom w:val="single" w:sz="1" w:space="0" w:color="CCCCCC"/>
              <w:right w:val="single" w:sz="1" w:space="0" w:color="CCCCCC"/>
            </w:tcBorders>
            <w:shd w:val="clear" w:color="auto" w:fill="E8F5F4"/>
          </w:tcPr>
          <w:p w14:paraId="304E7238" w14:textId="77777777" w:rsidR="00BD71B1" w:rsidRDefault="00BD71B1" w:rsidP="009D47C4">
            <w:pPr>
              <w:pStyle w:val="TableText"/>
            </w:pPr>
          </w:p>
        </w:tc>
      </w:tr>
      <w:tr w14:paraId="EE00000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5F4"/>
          </w:tcPr>
          <w:p w14:paraId="EE000001" w14:textId="77777777" w:rsidR="00BD71B1" w:rsidRDefault="00BD71B1" w:rsidP="009D47C4">
            <w:pPr>
              <w:pStyle w:val="TableText"/>
            </w:pPr>
            <w:r>
              <w:t xml:space="preserve">1</w:t>
            </w:r>
          </w:p>
        </w:tc>
        <w:tc>
          <w:tcPr>
            <w:tcW w:w="3762" w:type="dxa"/>
            <w:tcBorders>
              <w:top w:val="single" w:sz="1" w:space="0" w:color="CCCCCC"/>
              <w:left w:val="single" w:sz="1" w:space="0" w:color="CCCCCC"/>
              <w:bottom w:val="single" w:sz="1" w:space="0" w:color="CCCCCC"/>
              <w:right w:val="single" w:sz="1" w:space="0" w:color="CCCCCC"/>
            </w:tcBorders>
            <w:shd w:val="clear" w:color="auto" w:fill="E8F5F4"/>
          </w:tcPr>
          <w:p w14:paraId="EE000002" w14:textId="77777777" w:rsidR="00BD71B1" w:rsidRDefault="00BD71B1" w:rsidP="009D47C4">
            <w:pPr>
              <w:pStyle w:val="TableText"/>
            </w:pPr>
            <w:r>
              <w:t xml:space="preserve">Copies of all departmental advices to the minister on unacceptable impacts criteria</w:t>
            </w:r>
          </w:p>
        </w:tc>
        <w:tc>
          <w:tcPr>
            <w:tcW w:w="2082" w:type="dxa"/>
            <w:tcBorders>
              <w:top w:val="single" w:sz="1" w:space="0" w:color="CCCCCC"/>
              <w:left w:val="single" w:sz="1" w:space="0" w:color="CCCCCC"/>
              <w:bottom w:val="single" w:sz="1" w:space="0" w:color="CCCCCC"/>
              <w:right w:val="single" w:sz="1" w:space="0" w:color="CCCCCC"/>
            </w:tcBorders>
            <w:shd w:val="clear" w:color="auto" w:fill="E8F5F4"/>
          </w:tcPr>
          <w:p w14:paraId="EE000003" w14:textId="77777777" w:rsidR="00BD71B1" w:rsidRDefault="00BD71B1" w:rsidP="009D47C4">
            <w:pPr>
              <w:pStyle w:val="TableText"/>
            </w:pPr>
            <w:r>
              <w:t xml:space="preserve">DCCEEW officials (Parry / Gaddes)</w:t>
            </w:r>
          </w:p>
        </w:tc>
        <w:tc>
          <w:tcPr>
            <w:tcW w:w="1491" w:type="dxa"/>
            <w:tcBorders>
              <w:top w:val="single" w:sz="1" w:space="0" w:color="CCCCCC"/>
              <w:left w:val="single" w:sz="1" w:space="0" w:color="CCCCCC"/>
              <w:bottom w:val="single" w:sz="1" w:space="0" w:color="CCCCCC"/>
              <w:right w:val="single" w:sz="1" w:space="0" w:color="CCCCCC"/>
            </w:tcBorders>
            <w:shd w:val="clear" w:color="auto" w:fill="E8F5F4"/>
          </w:tcPr>
          <w:p w14:paraId="EE000004" w14:textId="77777777" w:rsidR="00BD71B1" w:rsidRDefault="00BD71B1" w:rsidP="009D47C4">
            <w:pPr>
              <w:pStyle w:val="TableText"/>
            </w:pPr>
            <w:r>
              <w:t xml:space="preserve">Henderson</w:t>
            </w:r>
          </w:p>
        </w:tc>
        <w:tc>
          <w:tcPr>
            <w:tcW w:w="1703" w:type="dxa"/>
            <w:tcBorders>
              <w:top w:val="single" w:sz="1" w:space="0" w:color="CCCCCC"/>
              <w:left w:val="single" w:sz="1" w:space="0" w:color="CCCCCC"/>
              <w:bottom w:val="single" w:sz="1" w:space="0" w:color="CCCCCC"/>
              <w:right w:val="single" w:sz="1" w:space="0" w:color="CCCCCC"/>
            </w:tcBorders>
            <w:shd w:val="clear" w:color="auto" w:fill="E8F5F4"/>
          </w:tcPr>
          <w:p w14:paraId="EE000005" w14:textId="77777777" w:rsidR="00BD71B1" w:rsidRDefault="00BD71B1" w:rsidP="009D47C4">
            <w:pPr>
              <w:pStyle w:val="TableText"/>
            </w:pPr>
            <w:r>
              <w:t xml:space="preserve">Outstanding — standard Senate timeline</w:t>
            </w:r>
          </w:p>
        </w:tc>
      </w:tr>
      <w:tr w14:paraId="EE00000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Pr>
          <w:p w14:paraId="EE00000B" w14:textId="77777777" w:rsidR="00BD71B1" w:rsidRDefault="00BD71B1" w:rsidP="009D47C4">
            <w:pPr>
              <w:pStyle w:val="TableText"/>
            </w:pPr>
            <w:r>
              <w:t xml:space="preserve">2</w:t>
            </w:r>
          </w:p>
        </w:tc>
        <w:tc>
          <w:tcPr>
            <w:tcW w:w="3762" w:type="dxa"/>
            <w:tcBorders>
              <w:top w:val="single" w:sz="1" w:space="0" w:color="CCCCCC"/>
              <w:left w:val="single" w:sz="1" w:space="0" w:color="CCCCCC"/>
              <w:bottom w:val="single" w:sz="1" w:space="0" w:color="CCCCCC"/>
              <w:right w:val="single" w:sz="1" w:space="0" w:color="CCCCCC"/>
            </w:tcBorders>
            <w:shd w:val="clear" w:color="auto" w:fill="FFFFFF"/>
          </w:tcPr>
          <w:p w14:paraId="EE00000C" w14:textId="77777777" w:rsidR="00BD71B1" w:rsidRDefault="00BD71B1" w:rsidP="009D47C4">
            <w:pPr>
              <w:pStyle w:val="TableText"/>
            </w:pPr>
            <w:r>
              <w:t xml:space="preserve">Summary of proposed amendments drafted by the department not yet made public</w:t>
            </w:r>
          </w:p>
        </w:tc>
        <w:tc>
          <w:tcPr>
            <w:tcW w:w="2082" w:type="dxa"/>
            <w:tcBorders>
              <w:top w:val="single" w:sz="1" w:space="0" w:color="CCCCCC"/>
              <w:left w:val="single" w:sz="1" w:space="0" w:color="CCCCCC"/>
              <w:bottom w:val="single" w:sz="1" w:space="0" w:color="CCCCCC"/>
              <w:right w:val="single" w:sz="1" w:space="0" w:color="CCCCCC"/>
            </w:tcBorders>
            <w:shd w:val="clear" w:color="auto" w:fill="FFFFFF"/>
          </w:tcPr>
          <w:p w14:paraId="EE00000D" w14:textId="77777777" w:rsidR="00BD71B1" w:rsidRDefault="00BD71B1" w:rsidP="009D47C4">
            <w:pPr>
              <w:pStyle w:val="TableText"/>
            </w:pPr>
            <w:r>
              <w:t xml:space="preserve">DCCEEW officials</w:t>
            </w:r>
          </w:p>
        </w:tc>
        <w:tc>
          <w:tcPr>
            <w:tcW w:w="1491" w:type="dxa"/>
            <w:tcBorders>
              <w:top w:val="single" w:sz="1" w:space="0" w:color="CCCCCC"/>
              <w:left w:val="single" w:sz="1" w:space="0" w:color="CCCCCC"/>
              <w:bottom w:val="single" w:sz="1" w:space="0" w:color="CCCCCC"/>
              <w:right w:val="single" w:sz="1" w:space="0" w:color="CCCCCC"/>
            </w:tcBorders>
            <w:shd w:val="clear" w:color="auto" w:fill="FFFFFF"/>
          </w:tcPr>
          <w:p w14:paraId="EE00000E" w14:textId="77777777" w:rsidR="00BD71B1" w:rsidRDefault="00BD71B1" w:rsidP="009D47C4">
            <w:pPr>
              <w:pStyle w:val="TableText"/>
            </w:pPr>
            <w:r>
              <w:t xml:space="preserve">Henderson</w:t>
            </w:r>
          </w:p>
        </w:tc>
        <w:tc>
          <w:tcPr>
            <w:tcW w:w="1703" w:type="dxa"/>
            <w:tcBorders>
              <w:top w:val="single" w:sz="1" w:space="0" w:color="CCCCCC"/>
              <w:left w:val="single" w:sz="1" w:space="0" w:color="CCCCCC"/>
              <w:bottom w:val="single" w:sz="1" w:space="0" w:color="CCCCCC"/>
              <w:right w:val="single" w:sz="1" w:space="0" w:color="CCCCCC"/>
            </w:tcBorders>
            <w:shd w:val="clear" w:color="auto" w:fill="FFFFFF"/>
          </w:tcPr>
          <w:p w14:paraId="EE00000F" w14:textId="77777777" w:rsidR="00BD71B1" w:rsidRDefault="00BD71B1" w:rsidP="009D47C4">
            <w:pPr>
              <w:pStyle w:val="TableText"/>
            </w:pPr>
            <w:r>
              <w:t xml:space="preserve">Outstanding — standard Senate timeline</w:t>
            </w:r>
          </w:p>
        </w:tc>
      </w:tr>
      <w:tr w14:paraId="EE00001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5F4"/>
          </w:tcPr>
          <w:p w14:paraId="EE000015" w14:textId="77777777" w:rsidR="00BD71B1" w:rsidRDefault="00BD71B1" w:rsidP="009D47C4">
            <w:pPr>
              <w:pStyle w:val="TableText"/>
            </w:pPr>
            <w:r>
              <w:t xml:space="preserve">3</w:t>
            </w:r>
          </w:p>
        </w:tc>
        <w:tc>
          <w:tcPr>
            <w:tcW w:w="3762" w:type="dxa"/>
            <w:tcBorders>
              <w:top w:val="single" w:sz="1" w:space="0" w:color="CCCCCC"/>
              <w:left w:val="single" w:sz="1" w:space="0" w:color="CCCCCC"/>
              <w:bottom w:val="single" w:sz="1" w:space="0" w:color="CCCCCC"/>
              <w:right w:val="single" w:sz="1" w:space="0" w:color="CCCCCC"/>
            </w:tcBorders>
            <w:shd w:val="clear" w:color="auto" w:fill="E8F5F4"/>
          </w:tcPr>
          <w:p w14:paraId="EE000016" w14:textId="77777777" w:rsidR="00BD71B1" w:rsidRDefault="00BD71B1" w:rsidP="009D47C4">
            <w:pPr>
              <w:pStyle w:val="TableText"/>
            </w:pPr>
            <w:r>
              <w:t xml:space="preserve">Breakdown of most-used current EPBC assessment pathways and proportions</w:t>
            </w:r>
          </w:p>
        </w:tc>
        <w:tc>
          <w:tcPr>
            <w:tcW w:w="2082" w:type="dxa"/>
            <w:tcBorders>
              <w:top w:val="single" w:sz="1" w:space="0" w:color="CCCCCC"/>
              <w:left w:val="single" w:sz="1" w:space="0" w:color="CCCCCC"/>
              <w:bottom w:val="single" w:sz="1" w:space="0" w:color="CCCCCC"/>
              <w:right w:val="single" w:sz="1" w:space="0" w:color="CCCCCC"/>
            </w:tcBorders>
            <w:shd w:val="clear" w:color="auto" w:fill="E8F5F4"/>
          </w:tcPr>
          <w:p w14:paraId="EE000017" w14:textId="77777777" w:rsidR="00BD71B1" w:rsidRDefault="00BD71B1" w:rsidP="009D47C4">
            <w:pPr>
              <w:pStyle w:val="TableText"/>
            </w:pPr>
            <w:r>
              <w:t xml:space="preserve">DCCEEW officials (O'Connor-Cox / Gaddes)</w:t>
            </w:r>
          </w:p>
        </w:tc>
        <w:tc>
          <w:tcPr>
            <w:tcW w:w="1491" w:type="dxa"/>
            <w:tcBorders>
              <w:top w:val="single" w:sz="1" w:space="0" w:color="CCCCCC"/>
              <w:left w:val="single" w:sz="1" w:space="0" w:color="CCCCCC"/>
              <w:bottom w:val="single" w:sz="1" w:space="0" w:color="CCCCCC"/>
              <w:right w:val="single" w:sz="1" w:space="0" w:color="CCCCCC"/>
            </w:tcBorders>
            <w:shd w:val="clear" w:color="auto" w:fill="E8F5F4"/>
          </w:tcPr>
          <w:p w14:paraId="EE000018" w14:textId="77777777" w:rsidR="00BD71B1" w:rsidRDefault="00BD71B1" w:rsidP="009D47C4">
            <w:pPr>
              <w:pStyle w:val="TableText"/>
            </w:pPr>
            <w:r>
              <w:t xml:space="preserve">Multiple</w:t>
            </w:r>
          </w:p>
        </w:tc>
        <w:tc>
          <w:tcPr>
            <w:tcW w:w="1703" w:type="dxa"/>
            <w:tcBorders>
              <w:top w:val="single" w:sz="1" w:space="0" w:color="CCCCCC"/>
              <w:left w:val="single" w:sz="1" w:space="0" w:color="CCCCCC"/>
              <w:bottom w:val="single" w:sz="1" w:space="0" w:color="CCCCCC"/>
              <w:right w:val="single" w:sz="1" w:space="0" w:color="CCCCCC"/>
            </w:tcBorders>
            <w:shd w:val="clear" w:color="auto" w:fill="E8F5F4"/>
          </w:tcPr>
          <w:p w14:paraId="EE000019" w14:textId="77777777" w:rsidR="00BD71B1" w:rsidRDefault="00BD71B1" w:rsidP="009D47C4">
            <w:pPr>
              <w:pStyle w:val="TableText"/>
            </w:pPr>
            <w:r>
              <w:t xml:space="preserve">Outstanding — could not be provided on the day</w:t>
            </w:r>
          </w:p>
        </w:tc>
      </w:tr>
    </w:tbl>
    <w:p w14:paraId="54FA1996" w14:textId="77777777" w:rsidR="00BD71B1" w:rsidRDefault="00000000" w:rsidP="009D47C4">
      <w:pPr>
        <w:pStyle w:val="Heading3"/>
      </w:pPr>
      <w:r>
        <w:t>Table 2: Key quotes</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4" w:type="dxa"/>
          <w:right w:w="74" w:type="dxa"/>
        </w:tblCellMar>
        <w:tblLook w:val="04A0" w:firstRow="1" w:lastRow="0" w:firstColumn="1" w:lastColumn="0" w:noHBand="0" w:noVBand="1"/>
      </w:tblPr>
      <w:tblGrid>
        <w:gridCol w:w="2265"/>
        <w:gridCol w:w="2835"/>
        <w:gridCol w:w="2835"/>
        <w:gridCol w:w="1701"/>
      </w:tblGrid>
      <w:tr w:rsidR="009D47C4" w:rsidRPr="009D47C4" w14:paraId="143DA795" w14:textId="77777777" w:rsidTr="009D47C4">
        <w:tblPrEx>
          <w:tblCellMar>
            <w:top w:w="0" w:type="dxa"/>
            <w:bottom w:w="0" w:type="dxa"/>
          </w:tblCellMar>
        </w:tblPrEx>
        <w:trPr>
          <w:tblHeader/>
        </w:trPr>
        <w:tc>
          <w:tcPr>
            <w:tcW w:w="2265" w:type="dxa"/>
            <w:tcBorders>
              <w:top w:val="single" w:sz="2" w:space="0" w:color="083A42"/>
              <w:left w:val="single" w:sz="2" w:space="0" w:color="083A42"/>
              <w:bottom w:val="single" w:sz="2" w:space="0" w:color="083A42"/>
              <w:right w:val="single" w:sz="2" w:space="0" w:color="083A42"/>
            </w:tcBorders>
            <w:shd w:val="clear" w:color="auto" w:fill="083A42"/>
          </w:tcPr>
          <w:p w14:paraId="5099DF23" w14:textId="2CC7F283" w:rsidR="009D47C4" w:rsidRPr="009D47C4" w:rsidRDefault="009D47C4" w:rsidP="00C654E5">
            <w:pPr>
              <w:spacing w:before="50" w:after="50" w:line="240" w:lineRule="auto"/>
              <w:rPr>
                <w:color w:val="FFFFFF" w:themeColor="background1"/>
                <w:sz w:val="18"/>
                <w:szCs w:val="18"/>
              </w:rPr>
            </w:pPr>
            <w:r>
              <w:rPr>
                <w:color w:val="FFFFFF" w:themeColor="background1"/>
                <w:sz w:val="18"/>
                <w:szCs w:val="18"/>
              </w:rPr>
              <w:t>Speaker</w:t>
            </w:r>
          </w:p>
        </w:tc>
        <w:tc>
          <w:tcPr>
            <w:tcW w:w="2835" w:type="dxa"/>
            <w:tcBorders>
              <w:top w:val="single" w:sz="2" w:space="0" w:color="083A42"/>
              <w:left w:val="single" w:sz="2" w:space="0" w:color="083A42"/>
              <w:bottom w:val="single" w:sz="2" w:space="0" w:color="083A42"/>
              <w:right w:val="single" w:sz="2" w:space="0" w:color="083A42"/>
            </w:tcBorders>
            <w:shd w:val="clear" w:color="auto" w:fill="083A42"/>
          </w:tcPr>
          <w:p w14:paraId="3A123076" w14:textId="728A2F53" w:rsidR="009D47C4" w:rsidRPr="009D47C4" w:rsidRDefault="009D47C4" w:rsidP="00C654E5">
            <w:pPr>
              <w:spacing w:before="50" w:after="50" w:line="240" w:lineRule="auto"/>
              <w:rPr>
                <w:color w:val="FFFFFF" w:themeColor="background1"/>
                <w:sz w:val="18"/>
                <w:szCs w:val="18"/>
              </w:rPr>
            </w:pPr>
            <w:r w:rsidRPr="009D47C4">
              <w:rPr>
                <w:color w:val="FFFFFF" w:themeColor="background1"/>
                <w:sz w:val="18"/>
                <w:szCs w:val="18"/>
              </w:rPr>
              <w:t xml:space="preserve">Quote </w:t>
            </w:r>
            <w:r w:rsidRPr="009D47C4">
              <w:rPr>
                <w:color w:val="FFFFFF" w:themeColor="background1"/>
                <w:sz w:val="16"/>
                <w:szCs w:val="16"/>
              </w:rPr>
              <w:t xml:space="preserve">(verbatim </w:t>
            </w:r>
            <w:r w:rsidRPr="009D47C4">
              <w:rPr>
                <w:color w:val="FFFFFF" w:themeColor="background1"/>
                <w:sz w:val="16"/>
                <w:szCs w:val="16"/>
              </w:rPr>
              <w:t>–</w:t>
            </w:r>
            <w:r w:rsidRPr="009D47C4">
              <w:rPr>
                <w:color w:val="FFFFFF" w:themeColor="background1"/>
                <w:sz w:val="16"/>
                <w:szCs w:val="16"/>
              </w:rPr>
              <w:t xml:space="preserve"> flag if paraphrased)</w:t>
            </w:r>
          </w:p>
        </w:tc>
        <w:tc>
          <w:tcPr>
            <w:tcW w:w="2835" w:type="dxa"/>
            <w:tcBorders>
              <w:top w:val="single" w:sz="2" w:space="0" w:color="083A42"/>
              <w:left w:val="single" w:sz="2" w:space="0" w:color="083A42"/>
              <w:bottom w:val="single" w:sz="2" w:space="0" w:color="083A42"/>
              <w:right w:val="single" w:sz="2" w:space="0" w:color="083A42"/>
            </w:tcBorders>
            <w:shd w:val="clear" w:color="auto" w:fill="083A42"/>
          </w:tcPr>
          <w:p w14:paraId="66D9E42C" w14:textId="7C952D82" w:rsidR="009D47C4" w:rsidRPr="009D47C4" w:rsidRDefault="009D47C4" w:rsidP="00C654E5">
            <w:pPr>
              <w:spacing w:before="50" w:after="50" w:line="240" w:lineRule="auto"/>
              <w:rPr>
                <w:color w:val="FFFFFF" w:themeColor="background1"/>
                <w:sz w:val="18"/>
                <w:szCs w:val="18"/>
              </w:rPr>
            </w:pPr>
            <w:r w:rsidRPr="009D47C4">
              <w:rPr>
                <w:color w:val="FFFFFF" w:themeColor="background1"/>
                <w:sz w:val="18"/>
                <w:szCs w:val="18"/>
              </w:rPr>
              <w:t>Significance</w:t>
            </w:r>
          </w:p>
        </w:tc>
        <w:tc>
          <w:tcPr>
            <w:tcW w:w="1701" w:type="dxa"/>
            <w:tcBorders>
              <w:top w:val="single" w:sz="2" w:space="0" w:color="083A42"/>
              <w:left w:val="single" w:sz="2" w:space="0" w:color="083A42"/>
              <w:bottom w:val="single" w:sz="2" w:space="0" w:color="083A42"/>
              <w:right w:val="single" w:sz="2" w:space="0" w:color="083A42"/>
            </w:tcBorders>
            <w:shd w:val="clear" w:color="auto" w:fill="083A42"/>
          </w:tcPr>
          <w:p w14:paraId="50136CDC" w14:textId="0A8F7C97" w:rsidR="009D47C4" w:rsidRPr="009D47C4" w:rsidRDefault="009D47C4" w:rsidP="00C654E5">
            <w:pPr>
              <w:spacing w:before="50" w:after="50" w:line="240" w:lineRule="auto"/>
              <w:rPr>
                <w:color w:val="FFFFFF" w:themeColor="background1"/>
                <w:sz w:val="18"/>
                <w:szCs w:val="18"/>
              </w:rPr>
            </w:pPr>
            <w:r>
              <w:rPr>
                <w:color w:val="FFFFFF" w:themeColor="background1"/>
                <w:sz w:val="18"/>
                <w:szCs w:val="18"/>
              </w:rPr>
              <w:t>Hansard pages</w:t>
            </w:r>
          </w:p>
        </w:tc>
      </w:tr>
      <w:tr w:rsidR="009D47C4" w14:paraId="757E62CA" w14:textId="77777777" w:rsidTr="009D47C4">
        <w:tblPrEx>
          <w:tblCellMar>
            <w:top w:w="0" w:type="dxa"/>
            <w:bottom w:w="0" w:type="dxa"/>
          </w:tblCellMar>
        </w:tblPrEx>
        <w:tc>
          <w:tcPr>
            <w:tcW w:w="2265" w:type="dxa"/>
            <w:tcBorders>
              <w:top w:val="single" w:sz="1" w:space="0" w:color="CCCCCC"/>
              <w:left w:val="single" w:sz="1" w:space="0" w:color="CCCCCC"/>
              <w:bottom w:val="single" w:sz="1" w:space="0" w:color="CCCCCC"/>
              <w:right w:val="single" w:sz="1" w:space="0" w:color="CCCCCC"/>
            </w:tcBorders>
            <w:shd w:val="clear" w:color="auto" w:fill="E8F5F4"/>
          </w:tcPr>
          <w:p w14:paraId="1C52AA5D" w14:textId="77777777" w:rsidR="009D47C4" w:rsidRDefault="009D47C4" w:rsidP="00C654E5">
            <w:pPr>
              <w:pStyle w:val="TableText"/>
            </w:pPr>
          </w:p>
        </w:tc>
        <w:tc>
          <w:tcPr>
            <w:tcW w:w="2835" w:type="dxa"/>
            <w:tcBorders>
              <w:top w:val="single" w:sz="1" w:space="0" w:color="CCCCCC"/>
              <w:left w:val="single" w:sz="1" w:space="0" w:color="CCCCCC"/>
              <w:bottom w:val="single" w:sz="1" w:space="0" w:color="CCCCCC"/>
              <w:right w:val="single" w:sz="1" w:space="0" w:color="CCCCCC"/>
            </w:tcBorders>
            <w:shd w:val="clear" w:color="auto" w:fill="E8F5F4"/>
          </w:tcPr>
          <w:p w14:paraId="2A5E8435" w14:textId="77777777" w:rsidR="009D47C4" w:rsidRDefault="009D47C4" w:rsidP="00C654E5">
            <w:pPr>
              <w:pStyle w:val="TableText"/>
            </w:pPr>
          </w:p>
        </w:tc>
        <w:tc>
          <w:tcPr>
            <w:tcW w:w="2835" w:type="dxa"/>
            <w:tcBorders>
              <w:top w:val="single" w:sz="1" w:space="0" w:color="CCCCCC"/>
              <w:left w:val="single" w:sz="1" w:space="0" w:color="CCCCCC"/>
              <w:bottom w:val="single" w:sz="1" w:space="0" w:color="CCCCCC"/>
              <w:right w:val="single" w:sz="1" w:space="0" w:color="CCCCCC"/>
            </w:tcBorders>
            <w:shd w:val="clear" w:color="auto" w:fill="E8F5F4"/>
          </w:tcPr>
          <w:p w14:paraId="0702B79B" w14:textId="77777777" w:rsidR="009D47C4" w:rsidRDefault="009D47C4" w:rsidP="00C654E5">
            <w:pPr>
              <w:pStyle w:val="TableText"/>
            </w:pPr>
          </w:p>
        </w:tc>
        <w:tc>
          <w:tcPr>
            <w:tcW w:w="1701" w:type="dxa"/>
            <w:tcBorders>
              <w:top w:val="single" w:sz="1" w:space="0" w:color="CCCCCC"/>
              <w:left w:val="single" w:sz="1" w:space="0" w:color="CCCCCC"/>
              <w:bottom w:val="single" w:sz="1" w:space="0" w:color="CCCCCC"/>
              <w:right w:val="single" w:sz="1" w:space="0" w:color="CCCCCC"/>
            </w:tcBorders>
            <w:shd w:val="clear" w:color="auto" w:fill="E8F5F4"/>
          </w:tcPr>
          <w:p w14:paraId="0E4A5A54" w14:textId="77777777" w:rsidR="009D47C4" w:rsidRDefault="009D47C4" w:rsidP="00C654E5">
            <w:pPr>
              <w:pStyle w:val="TableText"/>
            </w:pPr>
          </w:p>
        </w:tc>
      </w:tr>
      <w:tr w:rsidR="009D47C4" w14:paraId="20B8DB3A" w14:textId="77777777" w:rsidTr="009D47C4">
        <w:tblPrEx>
          <w:tblCellMar>
            <w:top w:w="0" w:type="dxa"/>
            <w:bottom w:w="0" w:type="dxa"/>
          </w:tblCellMar>
        </w:tblPrEx>
        <w:tc>
          <w:tcPr>
            <w:tcW w:w="2265" w:type="dxa"/>
            <w:tcBorders>
              <w:top w:val="single" w:sz="1" w:space="0" w:color="CCCCCC"/>
              <w:left w:val="single" w:sz="1" w:space="0" w:color="CCCCCC"/>
              <w:bottom w:val="single" w:sz="1" w:space="0" w:color="CCCCCC"/>
              <w:right w:val="single" w:sz="1" w:space="0" w:color="CCCCCC"/>
            </w:tcBorders>
            <w:shd w:val="clear" w:color="auto" w:fill="FFFFFF"/>
          </w:tcPr>
          <w:p w14:paraId="0CA0D865" w14:textId="77777777" w:rsidR="009D47C4" w:rsidRDefault="009D47C4" w:rsidP="00C654E5">
            <w:pPr>
              <w:pStyle w:val="TableText"/>
            </w:pPr>
          </w:p>
        </w:tc>
        <w:tc>
          <w:tcPr>
            <w:tcW w:w="2835" w:type="dxa"/>
            <w:tcBorders>
              <w:top w:val="single" w:sz="1" w:space="0" w:color="CCCCCC"/>
              <w:left w:val="single" w:sz="1" w:space="0" w:color="CCCCCC"/>
              <w:bottom w:val="single" w:sz="1" w:space="0" w:color="CCCCCC"/>
              <w:right w:val="single" w:sz="1" w:space="0" w:color="CCCCCC"/>
            </w:tcBorders>
            <w:shd w:val="clear" w:color="auto" w:fill="FFFFFF"/>
          </w:tcPr>
          <w:p w14:paraId="119A5BA8" w14:textId="77777777" w:rsidR="009D47C4" w:rsidRDefault="009D47C4" w:rsidP="00C654E5">
            <w:pPr>
              <w:pStyle w:val="TableText"/>
            </w:pPr>
          </w:p>
        </w:tc>
        <w:tc>
          <w:tcPr>
            <w:tcW w:w="2835" w:type="dxa"/>
            <w:tcBorders>
              <w:top w:val="single" w:sz="1" w:space="0" w:color="CCCCCC"/>
              <w:left w:val="single" w:sz="1" w:space="0" w:color="CCCCCC"/>
              <w:bottom w:val="single" w:sz="1" w:space="0" w:color="CCCCCC"/>
              <w:right w:val="single" w:sz="1" w:space="0" w:color="CCCCCC"/>
            </w:tcBorders>
            <w:shd w:val="clear" w:color="auto" w:fill="FFFFFF"/>
          </w:tcPr>
          <w:p w14:paraId="69BB0203" w14:textId="77777777" w:rsidR="009D47C4" w:rsidRDefault="009D47C4" w:rsidP="00C654E5">
            <w:pPr>
              <w:pStyle w:val="TableText"/>
            </w:pPr>
          </w:p>
        </w:tc>
        <w:tc>
          <w:tcPr>
            <w:tcW w:w="1701" w:type="dxa"/>
            <w:tcBorders>
              <w:top w:val="single" w:sz="1" w:space="0" w:color="CCCCCC"/>
              <w:left w:val="single" w:sz="1" w:space="0" w:color="CCCCCC"/>
              <w:bottom w:val="single" w:sz="1" w:space="0" w:color="CCCCCC"/>
              <w:right w:val="single" w:sz="1" w:space="0" w:color="CCCCCC"/>
            </w:tcBorders>
            <w:shd w:val="clear" w:color="auto" w:fill="FFFFFF"/>
          </w:tcPr>
          <w:p w14:paraId="46491FF4" w14:textId="77777777" w:rsidR="009D47C4" w:rsidRDefault="009D47C4" w:rsidP="00C654E5">
            <w:pPr>
              <w:pStyle w:val="TableText"/>
            </w:pPr>
          </w:p>
        </w:tc>
      </w:tr>
      <w:tr w:rsidR="009D47C4" w14:paraId="12C1A3E5" w14:textId="77777777" w:rsidTr="009D47C4">
        <w:tblPrEx>
          <w:tblCellMar>
            <w:top w:w="0" w:type="dxa"/>
            <w:bottom w:w="0" w:type="dxa"/>
          </w:tblCellMar>
        </w:tblPrEx>
        <w:tc>
          <w:tcPr>
            <w:tcW w:w="2265" w:type="dxa"/>
            <w:tcBorders>
              <w:top w:val="single" w:sz="1" w:space="0" w:color="CCCCCC"/>
              <w:left w:val="single" w:sz="1" w:space="0" w:color="CCCCCC"/>
              <w:bottom w:val="single" w:sz="1" w:space="0" w:color="CCCCCC"/>
              <w:right w:val="single" w:sz="1" w:space="0" w:color="CCCCCC"/>
            </w:tcBorders>
            <w:shd w:val="clear" w:color="auto" w:fill="E8F5F4"/>
          </w:tcPr>
          <w:p w14:paraId="6EBEF20C" w14:textId="77777777" w:rsidR="009D47C4" w:rsidRDefault="009D47C4" w:rsidP="00C654E5">
            <w:pPr>
              <w:pStyle w:val="TableText"/>
            </w:pPr>
          </w:p>
        </w:tc>
        <w:tc>
          <w:tcPr>
            <w:tcW w:w="2835" w:type="dxa"/>
            <w:tcBorders>
              <w:top w:val="single" w:sz="1" w:space="0" w:color="CCCCCC"/>
              <w:left w:val="single" w:sz="1" w:space="0" w:color="CCCCCC"/>
              <w:bottom w:val="single" w:sz="1" w:space="0" w:color="CCCCCC"/>
              <w:right w:val="single" w:sz="1" w:space="0" w:color="CCCCCC"/>
            </w:tcBorders>
            <w:shd w:val="clear" w:color="auto" w:fill="E8F5F4"/>
          </w:tcPr>
          <w:p w14:paraId="2E58961F" w14:textId="77777777" w:rsidR="009D47C4" w:rsidRDefault="009D47C4" w:rsidP="00C654E5">
            <w:pPr>
              <w:pStyle w:val="TableText"/>
            </w:pPr>
          </w:p>
        </w:tc>
        <w:tc>
          <w:tcPr>
            <w:tcW w:w="2835" w:type="dxa"/>
            <w:tcBorders>
              <w:top w:val="single" w:sz="1" w:space="0" w:color="CCCCCC"/>
              <w:left w:val="single" w:sz="1" w:space="0" w:color="CCCCCC"/>
              <w:bottom w:val="single" w:sz="1" w:space="0" w:color="CCCCCC"/>
              <w:right w:val="single" w:sz="1" w:space="0" w:color="CCCCCC"/>
            </w:tcBorders>
            <w:shd w:val="clear" w:color="auto" w:fill="E8F5F4"/>
          </w:tcPr>
          <w:p w14:paraId="1783DC23" w14:textId="77777777" w:rsidR="009D47C4" w:rsidRDefault="009D47C4" w:rsidP="00C654E5">
            <w:pPr>
              <w:pStyle w:val="TableText"/>
            </w:pPr>
          </w:p>
        </w:tc>
        <w:tc>
          <w:tcPr>
            <w:tcW w:w="1701" w:type="dxa"/>
            <w:tcBorders>
              <w:top w:val="single" w:sz="1" w:space="0" w:color="CCCCCC"/>
              <w:left w:val="single" w:sz="1" w:space="0" w:color="CCCCCC"/>
              <w:bottom w:val="single" w:sz="1" w:space="0" w:color="CCCCCC"/>
              <w:right w:val="single" w:sz="1" w:space="0" w:color="CCCCCC"/>
            </w:tcBorders>
            <w:shd w:val="clear" w:color="auto" w:fill="E8F5F4"/>
          </w:tcPr>
          <w:p w14:paraId="38A0D905" w14:textId="77777777" w:rsidR="009D47C4" w:rsidRDefault="009D47C4" w:rsidP="00C654E5">
            <w:pPr>
              <w:pStyle w:val="TableText"/>
            </w:pPr>
          </w:p>
        </w:tc>
      </w:tr>
      <w:tr w14:paraId="FF000000" w14:textId="77777777">
        <w:tblPrEx>
          <w:tblCellMar>
            <w:top w:w="0" w:type="dxa"/>
            <w:bottom w:w="0" w:type="dxa"/>
          </w:tblCellMar>
        </w:tblPrEx>
        <w:tc>
          <w:tcPr>
            <w:tcW w:w="2265" w:type="dxa"/>
            <w:tcBorders>
              <w:top w:val="single" w:sz="1" w:space="0" w:color="CCCCCC"/>
              <w:left w:val="single" w:sz="1" w:space="0" w:color="CCCCCC"/>
              <w:bottom w:val="single" w:sz="1" w:space="0" w:color="CCCCCC"/>
              <w:right w:val="single" w:sz="1" w:space="0" w:color="CCCCCC"/>
            </w:tcBorders>
            <w:shd w:val="clear" w:color="auto" w:fill="E8F5F4"/>
          </w:tcPr>
          <w:p w14:paraId="FF000001" w14:textId="77777777" w:rsidR="00BD71B1" w:rsidRDefault="00BD71B1" w:rsidP="009D47C4">
            <w:pPr>
              <w:pStyle w:val="TableText"/>
            </w:pPr>
            <w:r>
              <w:t xml:space="preserve">Prof. Graeme Samuel AC</w:t>
            </w:r>
          </w:p>
        </w:tc>
        <w:tc>
          <w:tcPr>
            <w:tcW w:w="2835" w:type="dxa"/>
            <w:tcBorders>
              <w:top w:val="single" w:sz="1" w:space="0" w:color="CCCCCC"/>
              <w:left w:val="single" w:sz="1" w:space="0" w:color="CCCCCC"/>
              <w:bottom w:val="single" w:sz="1" w:space="0" w:color="CCCCCC"/>
              <w:right w:val="single" w:sz="1" w:space="0" w:color="CCCCCC"/>
            </w:tcBorders>
            <w:shd w:val="clear" w:color="auto" w:fill="E8F5F4"/>
          </w:tcPr>
          <w:p w14:paraId="FF000002" w14:textId="77777777" w:rsidR="00BD71B1" w:rsidRDefault="00BD71B1" w:rsidP="009D47C4">
            <w:pPr>
              <w:pStyle w:val="TableText"/>
            </w:pPr>
            <w:r>
              <w:t xml:space="preserve">Abuse of power by a minister. And, also, the risk for the minister is there will be a conga line of lobbyists outside their door. [on the national interest exemption]</w:t>
            </w:r>
          </w:p>
        </w:tc>
        <w:tc>
          <w:tcPr>
            <w:tcW w:w="2835" w:type="dxa"/>
            <w:tcBorders>
              <w:top w:val="single" w:sz="1" w:space="0" w:color="CCCCCC"/>
              <w:left w:val="single" w:sz="1" w:space="0" w:color="CCCCCC"/>
              <w:bottom w:val="single" w:sz="1" w:space="0" w:color="CCCCCC"/>
              <w:right w:val="single" w:sz="1" w:space="0" w:color="CCCCCC"/>
            </w:tcBorders>
            <w:shd w:val="clear" w:color="auto" w:fill="E8F5F4"/>
          </w:tcPr>
          <w:p w14:paraId="FF000003" w14:textId="77777777" w:rsidR="00BD71B1" w:rsidRDefault="00BD71B1" w:rsidP="009D47C4">
            <w:pPr>
              <w:pStyle w:val="TableText"/>
            </w:pPr>
            <w:r>
              <w:t xml:space="preserve">Review author does not support the exemption in current form; provides a credible basis for an amendment removing or narrowing it</w:t>
            </w:r>
          </w:p>
        </w:tc>
        <w:tc>
          <w:tcPr>
            <w:tcW w:w="1701" w:type="dxa"/>
            <w:tcBorders>
              <w:top w:val="single" w:sz="1" w:space="0" w:color="CCCCCC"/>
              <w:left w:val="single" w:sz="1" w:space="0" w:color="CCCCCC"/>
              <w:bottom w:val="single" w:sz="1" w:space="0" w:color="CCCCCC"/>
              <w:right w:val="single" w:sz="1" w:space="0" w:color="CCCCCC"/>
            </w:tcBorders>
            <w:shd w:val="clear" w:color="auto" w:fill="E8F5F4"/>
          </w:tcPr>
          <w:p w14:paraId="FF000004" w14:textId="77777777" w:rsidR="00BD71B1" w:rsidRDefault="00BD71B1" w:rsidP="009D47C4">
            <w:pPr>
              <w:pStyle w:val="TableText"/>
            </w:pPr>
            <w:r>
              <w:t xml:space="preserve">p. 7 (approx.)</w:t>
            </w:r>
          </w:p>
        </w:tc>
      </w:tr>
      <w:tr w14:paraId="FF00000A" w14:textId="77777777">
        <w:tblPrEx>
          <w:tblCellMar>
            <w:top w:w="0" w:type="dxa"/>
            <w:bottom w:w="0" w:type="dxa"/>
          </w:tblCellMar>
        </w:tblPrEx>
        <w:tc>
          <w:tcPr>
            <w:tcW w:w="2265" w:type="dxa"/>
            <w:tcBorders>
              <w:top w:val="single" w:sz="1" w:space="0" w:color="CCCCCC"/>
              <w:left w:val="single" w:sz="1" w:space="0" w:color="CCCCCC"/>
              <w:bottom w:val="single" w:sz="1" w:space="0" w:color="CCCCCC"/>
              <w:right w:val="single" w:sz="1" w:space="0" w:color="CCCCCC"/>
            </w:tcBorders>
            <w:shd w:val="clear" w:color="auto" w:fill="FFFFFF"/>
          </w:tcPr>
          <w:p w14:paraId="FF00000B" w14:textId="77777777" w:rsidR="00BD71B1" w:rsidRDefault="00BD71B1" w:rsidP="009D47C4">
            <w:pPr>
              <w:pStyle w:val="TableText"/>
            </w:pPr>
            <w:r>
              <w:t xml:space="preserve">Kelly O'Shanassy, ACF</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Pr>
          <w:p w14:paraId="FF00000C" w14:textId="77777777" w:rsidR="00BD71B1" w:rsidRDefault="00BD71B1" w:rsidP="009D47C4">
            <w:pPr>
              <w:pStyle w:val="TableText"/>
            </w:pPr>
            <w:r>
              <w:t xml:space="preserve">This is not there. It's nowhere near there, but it can get there. [on the bills overall]</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Pr>
          <w:p w14:paraId="FF00000D" w14:textId="77777777" w:rsidR="00BD71B1" w:rsidRDefault="00BD71B1" w:rsidP="009D47C4">
            <w:pPr>
              <w:pStyle w:val="TableText"/>
            </w:pPr>
            <w:r>
              <w:t xml:space="preserve">Signals conditional NGO support — bills are salvageable with amendments; not a call for outright defeat</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Pr>
          <w:p w14:paraId="FF00000E" w14:textId="77777777" w:rsidR="00BD71B1" w:rsidRDefault="00BD71B1" w:rsidP="009D47C4">
            <w:pPr>
              <w:pStyle w:val="TableText"/>
            </w:pPr>
            <w:r>
              <w:t xml:space="preserve">p. 22 (approx.)</w:t>
            </w:r>
          </w:p>
        </w:tc>
      </w:tr>
      <w:tr w14:paraId="FF000014" w14:textId="77777777">
        <w:tblPrEx>
          <w:tblCellMar>
            <w:top w:w="0" w:type="dxa"/>
            <w:bottom w:w="0" w:type="dxa"/>
          </w:tblCellMar>
        </w:tblPrEx>
        <w:tc>
          <w:tcPr>
            <w:tcW w:w="2265" w:type="dxa"/>
            <w:tcBorders>
              <w:top w:val="single" w:sz="1" w:space="0" w:color="CCCCCC"/>
              <w:left w:val="single" w:sz="1" w:space="0" w:color="CCCCCC"/>
              <w:bottom w:val="single" w:sz="1" w:space="0" w:color="CCCCCC"/>
              <w:right w:val="single" w:sz="1" w:space="0" w:color="CCCCCC"/>
            </w:tcBorders>
            <w:shd w:val="clear" w:color="auto" w:fill="E8F5F4"/>
          </w:tcPr>
          <w:p w14:paraId="FF000015" w14:textId="77777777" w:rsidR="00BD71B1" w:rsidRDefault="00BD71B1" w:rsidP="009D47C4">
            <w:pPr>
              <w:pStyle w:val="TableText"/>
            </w:pPr>
            <w:r>
              <w:t xml:space="preserve">David Ritter, CEO, Greenpeace</w:t>
            </w:r>
          </w:p>
        </w:tc>
        <w:tc>
          <w:tcPr>
            <w:tcW w:w="2835" w:type="dxa"/>
            <w:tcBorders>
              <w:top w:val="single" w:sz="1" w:space="0" w:color="CCCCCC"/>
              <w:left w:val="single" w:sz="1" w:space="0" w:color="CCCCCC"/>
              <w:bottom w:val="single" w:sz="1" w:space="0" w:color="CCCCCC"/>
              <w:right w:val="single" w:sz="1" w:space="0" w:color="CCCCCC"/>
            </w:tcBorders>
            <w:shd w:val="clear" w:color="auto" w:fill="E8F5F4"/>
          </w:tcPr>
          <w:p w14:paraId="FF000016" w14:textId="77777777" w:rsidR="00BD71B1" w:rsidRDefault="00BD71B1" w:rsidP="009D47C4">
            <w:pPr>
              <w:pStyle w:val="TableText"/>
            </w:pPr>
            <w:r>
              <w:t xml:space="preserve">Have you ever tried to have a bath where the bath is 95 per cent complete but the plug is not in? [on the bills' architecture]</w:t>
            </w:r>
          </w:p>
        </w:tc>
        <w:tc>
          <w:tcPr>
            <w:tcW w:w="2835" w:type="dxa"/>
            <w:tcBorders>
              <w:top w:val="single" w:sz="1" w:space="0" w:color="CCCCCC"/>
              <w:left w:val="single" w:sz="1" w:space="0" w:color="CCCCCC"/>
              <w:bottom w:val="single" w:sz="1" w:space="0" w:color="CCCCCC"/>
              <w:right w:val="single" w:sz="1" w:space="0" w:color="CCCCCC"/>
            </w:tcBorders>
            <w:shd w:val="clear" w:color="auto" w:fill="E8F5F4"/>
          </w:tcPr>
          <w:p w14:paraId="FF000017" w14:textId="77777777" w:rsidR="00BD71B1" w:rsidRDefault="00BD71B1" w:rsidP="009D47C4">
            <w:pPr>
              <w:pStyle w:val="TableText"/>
            </w:pPr>
            <w:r>
              <w:t xml:space="preserve">Memorable framing of the exemptions problem; likely to be quoted in the committee report</w:t>
            </w:r>
          </w:p>
        </w:tc>
        <w:tc>
          <w:tcPr>
            <w:tcW w:w="1701" w:type="dxa"/>
            <w:tcBorders>
              <w:top w:val="single" w:sz="1" w:space="0" w:color="CCCCCC"/>
              <w:left w:val="single" w:sz="1" w:space="0" w:color="CCCCCC"/>
              <w:bottom w:val="single" w:sz="1" w:space="0" w:color="CCCCCC"/>
              <w:right w:val="single" w:sz="1" w:space="0" w:color="CCCCCC"/>
            </w:tcBorders>
            <w:shd w:val="clear" w:color="auto" w:fill="E8F5F4"/>
          </w:tcPr>
          <w:p w14:paraId="FF000018" w14:textId="77777777" w:rsidR="00BD71B1" w:rsidRDefault="00BD71B1" w:rsidP="009D47C4">
            <w:pPr>
              <w:pStyle w:val="TableText"/>
            </w:pPr>
            <w:r>
              <w:t xml:space="preserve">p. 26 (approx.)</w:t>
            </w:r>
          </w:p>
        </w:tc>
      </w:tr>
      <w:tr w14:paraId="FF00001E" w14:textId="77777777">
        <w:tblPrEx>
          <w:tblCellMar>
            <w:top w:w="0" w:type="dxa"/>
            <w:bottom w:w="0" w:type="dxa"/>
          </w:tblCellMar>
        </w:tblPrEx>
        <w:tc>
          <w:tcPr>
            <w:tcW w:w="2265" w:type="dxa"/>
            <w:tcBorders>
              <w:top w:val="single" w:sz="1" w:space="0" w:color="CCCCCC"/>
              <w:left w:val="single" w:sz="1" w:space="0" w:color="CCCCCC"/>
              <w:bottom w:val="single" w:sz="1" w:space="0" w:color="CCCCCC"/>
              <w:right w:val="single" w:sz="1" w:space="0" w:color="CCCCCC"/>
            </w:tcBorders>
            <w:shd w:val="clear" w:color="auto" w:fill="FFFFFF"/>
          </w:tcPr>
          <w:p w14:paraId="FF00001F" w14:textId="77777777" w:rsidR="00BD71B1" w:rsidRDefault="00BD71B1" w:rsidP="009D47C4">
            <w:pPr>
              <w:pStyle w:val="TableText"/>
            </w:pPr>
            <w:r>
              <w:t xml:space="preserve">Sen. Hanson-Young to DCCEEW</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Pr>
          <w:p w14:paraId="FF000020" w14:textId="77777777" w:rsidR="00BD71B1" w:rsidRDefault="00BD71B1" w:rsidP="009D47C4">
            <w:pPr>
              <w:pStyle w:val="TableText"/>
            </w:pPr>
            <w:r>
              <w:t xml:space="preserve">What animal will you stop from going extinct under this legislation? They can't answer it. [after officials were unable to respond]</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Pr>
          <w:p w14:paraId="FF000021" w14:textId="77777777" w:rsidR="00BD71B1" w:rsidRDefault="00BD71B1" w:rsidP="009D47C4">
            <w:pPr>
              <w:pStyle w:val="TableText"/>
            </w:pPr>
            <w:r>
              <w:t xml:space="preserve">Live communications vulnerability; will recur in media and at subsequent hearings</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Pr>
          <w:p w14:paraId="FF000022" w14:textId="77777777" w:rsidR="00BD71B1" w:rsidRDefault="00BD71B1" w:rsidP="009D47C4">
            <w:pPr>
              <w:pStyle w:val="TableText"/>
            </w:pPr>
            <w:r>
              <w:t xml:space="preserve">p. 83 (approx.)</w:t>
            </w:r>
          </w:p>
        </w:tc>
      </w:tr>
      <w:tr w14:paraId="FF000028" w14:textId="77777777">
        <w:tblPrEx>
          <w:tblCellMar>
            <w:top w:w="0" w:type="dxa"/>
            <w:bottom w:w="0" w:type="dxa"/>
          </w:tblCellMar>
        </w:tblPrEx>
        <w:tc>
          <w:tcPr>
            <w:tcW w:w="2265" w:type="dxa"/>
            <w:tcBorders>
              <w:top w:val="single" w:sz="1" w:space="0" w:color="CCCCCC"/>
              <w:left w:val="single" w:sz="1" w:space="0" w:color="CCCCCC"/>
              <w:bottom w:val="single" w:sz="1" w:space="0" w:color="CCCCCC"/>
              <w:right w:val="single" w:sz="1" w:space="0" w:color="CCCCCC"/>
            </w:tcBorders>
            <w:shd w:val="clear" w:color="auto" w:fill="E8F5F4"/>
          </w:tcPr>
          <w:p w14:paraId="FF000029" w14:textId="77777777" w:rsidR="00BD71B1" w:rsidRDefault="00BD71B1" w:rsidP="009D47C4">
            <w:pPr>
              <w:pStyle w:val="TableText"/>
            </w:pPr>
            <w:r>
              <w:t xml:space="preserve">Warren Pearce, CEO, AMEC</w:t>
            </w:r>
          </w:p>
        </w:tc>
        <w:tc>
          <w:tcPr>
            <w:tcW w:w="2835" w:type="dxa"/>
            <w:tcBorders>
              <w:top w:val="single" w:sz="1" w:space="0" w:color="CCCCCC"/>
              <w:left w:val="single" w:sz="1" w:space="0" w:color="CCCCCC"/>
              <w:bottom w:val="single" w:sz="1" w:space="0" w:color="CCCCCC"/>
              <w:right w:val="single" w:sz="1" w:space="0" w:color="CCCCCC"/>
            </w:tcBorders>
            <w:shd w:val="clear" w:color="auto" w:fill="E8F5F4"/>
          </w:tcPr>
          <w:p w14:paraId="FF00002A" w14:textId="77777777" w:rsidR="00BD71B1" w:rsidRDefault="00BD71B1" w:rsidP="009D47C4">
            <w:pPr>
              <w:pStyle w:val="TableText"/>
            </w:pPr>
            <w:r>
              <w:t xml:space="preserve">Senator, I'd like to argue about something else. I'd really like to see our projects move forward and to take advantage of this once-in-a-generation critical minerals opportunity.</w:t>
            </w:r>
          </w:p>
        </w:tc>
        <w:tc>
          <w:tcPr>
            <w:tcW w:w="2835" w:type="dxa"/>
            <w:tcBorders>
              <w:top w:val="single" w:sz="1" w:space="0" w:color="CCCCCC"/>
              <w:left w:val="single" w:sz="1" w:space="0" w:color="CCCCCC"/>
              <w:bottom w:val="single" w:sz="1" w:space="0" w:color="CCCCCC"/>
              <w:right w:val="single" w:sz="1" w:space="0" w:color="CCCCCC"/>
            </w:tcBorders>
            <w:shd w:val="clear" w:color="auto" w:fill="E8F5F4"/>
          </w:tcPr>
          <w:p w14:paraId="FF00002B" w14:textId="77777777" w:rsidR="00BD71B1" w:rsidRDefault="00BD71B1" w:rsidP="009D47C4">
            <w:pPr>
              <w:pStyle w:val="TableText"/>
            </w:pPr>
            <w:r>
              <w:t xml:space="preserve">Signals part of mining sector will prioritise speed over amendment demands — potentially separable from MCA/CME WA</w:t>
            </w:r>
          </w:p>
        </w:tc>
        <w:tc>
          <w:tcPr>
            <w:tcW w:w="1701" w:type="dxa"/>
            <w:tcBorders>
              <w:top w:val="single" w:sz="1" w:space="0" w:color="CCCCCC"/>
              <w:left w:val="single" w:sz="1" w:space="0" w:color="CCCCCC"/>
              <w:bottom w:val="single" w:sz="1" w:space="0" w:color="CCCCCC"/>
              <w:right w:val="single" w:sz="1" w:space="0" w:color="CCCCCC"/>
            </w:tcBorders>
            <w:shd w:val="clear" w:color="auto" w:fill="E8F5F4"/>
          </w:tcPr>
          <w:p w14:paraId="FF00002C" w14:textId="77777777" w:rsidR="00BD71B1" w:rsidRDefault="00BD71B1" w:rsidP="009D47C4">
            <w:pPr>
              <w:pStyle w:val="TableText"/>
            </w:pPr>
            <w:r>
              <w:t xml:space="preserve">p. 73 (approx.)</w:t>
            </w:r>
          </w:p>
        </w:tc>
      </w:tr>
      <w:tr w14:paraId="FF000032" w14:textId="77777777">
        <w:tblPrEx>
          <w:tblCellMar>
            <w:top w:w="0" w:type="dxa"/>
            <w:bottom w:w="0" w:type="dxa"/>
          </w:tblCellMar>
        </w:tblPrEx>
        <w:tc>
          <w:tcPr>
            <w:tcW w:w="2265" w:type="dxa"/>
            <w:tcBorders>
              <w:top w:val="single" w:sz="1" w:space="0" w:color="CCCCCC"/>
              <w:left w:val="single" w:sz="1" w:space="0" w:color="CCCCCC"/>
              <w:bottom w:val="single" w:sz="1" w:space="0" w:color="CCCCCC"/>
              <w:right w:val="single" w:sz="1" w:space="0" w:color="CCCCCC"/>
            </w:tcBorders>
            <w:shd w:val="clear" w:color="auto" w:fill="FFFFFF"/>
          </w:tcPr>
          <w:p w14:paraId="FF000033" w14:textId="77777777" w:rsidR="00BD71B1" w:rsidRDefault="00BD71B1" w:rsidP="009D47C4">
            <w:pPr>
              <w:pStyle w:val="TableText"/>
            </w:pPr>
            <w:r>
              <w:t xml:space="preserve">Senator Grogan (ALP)</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Pr>
          <w:p w14:paraId="FF000034" w14:textId="77777777" w:rsidR="00BD71B1" w:rsidRDefault="00BD71B1" w:rsidP="009D47C4">
            <w:pPr>
              <w:pStyle w:val="TableText"/>
            </w:pPr>
            <w:r>
              <w:t xml:space="preserve">I don't know how you or various people are going to feel if this doesn't happen, but I know how I'm going to feel. [on risk of legislative failure]</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Pr>
          <w:p w14:paraId="FF000035" w14:textId="77777777" w:rsidR="00BD71B1" w:rsidRDefault="00BD71B1" w:rsidP="009D47C4">
            <w:pPr>
              <w:pStyle w:val="TableText"/>
            </w:pPr>
            <w:r>
              <w:t xml:space="preserve">Government senator publicly signalling anxiety about failure; key context for understanding Labor's negotiating constraints</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Pr>
          <w:p w14:paraId="FF000036" w14:textId="77777777" w:rsidR="00BD71B1" w:rsidRDefault="00BD71B1" w:rsidP="009D47C4">
            <w:pPr>
              <w:pStyle w:val="TableText"/>
            </w:pPr>
            <w:r>
              <w:t xml:space="preserve">p. 31 (approx.)</w:t>
            </w:r>
          </w:p>
        </w:tc>
      </w:tr>
    </w:tbl>
    <w:p w14:paraId="053E95E6" w14:textId="77777777" w:rsidR="00BD71B1" w:rsidRDefault="00000000" w:rsidP="009D47C4">
      <w:pPr>
        <w:pStyle w:val="Heading3"/>
      </w:pPr>
      <w:r>
        <w:t>Table 3: Forward action items for DCCEEW</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4" w:type="dxa"/>
          <w:right w:w="74" w:type="dxa"/>
        </w:tblCellMar>
        <w:tblLook w:val="04A0" w:firstRow="1" w:lastRow="0" w:firstColumn="1" w:lastColumn="0" w:noHBand="0" w:noVBand="1"/>
      </w:tblPr>
      <w:tblGrid>
        <w:gridCol w:w="1415"/>
        <w:gridCol w:w="3685"/>
        <w:gridCol w:w="2835"/>
        <w:gridCol w:w="1701"/>
      </w:tblGrid>
      <w:tr w:rsidR="009D47C4" w:rsidRPr="009D47C4" w14:paraId="3D7D6CB5" w14:textId="77777777" w:rsidTr="009D47C4">
        <w:tblPrEx>
          <w:tblCellMar>
            <w:top w:w="0" w:type="dxa"/>
            <w:bottom w:w="0" w:type="dxa"/>
          </w:tblCellMar>
        </w:tblPrEx>
        <w:trPr>
          <w:tblHeader/>
        </w:trPr>
        <w:tc>
          <w:tcPr>
            <w:tcW w:w="1415" w:type="dxa"/>
            <w:tcBorders>
              <w:top w:val="single" w:sz="2" w:space="0" w:color="083A42"/>
              <w:left w:val="single" w:sz="2" w:space="0" w:color="083A42"/>
              <w:bottom w:val="single" w:sz="2" w:space="0" w:color="083A42"/>
              <w:right w:val="single" w:sz="2" w:space="0" w:color="083A42"/>
            </w:tcBorders>
            <w:shd w:val="clear" w:color="auto" w:fill="083A42"/>
          </w:tcPr>
          <w:p w14:paraId="3AABE338" w14:textId="444C6FEB" w:rsidR="009D47C4" w:rsidRPr="009D47C4" w:rsidRDefault="009D47C4" w:rsidP="00C654E5">
            <w:pPr>
              <w:spacing w:before="50" w:after="50" w:line="240" w:lineRule="auto"/>
              <w:rPr>
                <w:color w:val="FFFFFF" w:themeColor="background1"/>
                <w:sz w:val="18"/>
                <w:szCs w:val="18"/>
              </w:rPr>
            </w:pPr>
            <w:r>
              <w:rPr>
                <w:color w:val="FFFFFF" w:themeColor="background1"/>
                <w:sz w:val="18"/>
                <w:szCs w:val="18"/>
              </w:rPr>
              <w:t>Priority</w:t>
            </w:r>
          </w:p>
        </w:tc>
        <w:tc>
          <w:tcPr>
            <w:tcW w:w="3685" w:type="dxa"/>
            <w:tcBorders>
              <w:top w:val="single" w:sz="2" w:space="0" w:color="083A42"/>
              <w:left w:val="single" w:sz="2" w:space="0" w:color="083A42"/>
              <w:bottom w:val="single" w:sz="2" w:space="0" w:color="083A42"/>
              <w:right w:val="single" w:sz="2" w:space="0" w:color="083A42"/>
            </w:tcBorders>
            <w:shd w:val="clear" w:color="auto" w:fill="083A42"/>
          </w:tcPr>
          <w:p w14:paraId="6F389D47" w14:textId="0A595E8B" w:rsidR="009D47C4" w:rsidRPr="009D47C4" w:rsidRDefault="009D47C4" w:rsidP="00C654E5">
            <w:pPr>
              <w:spacing w:before="50" w:after="50" w:line="240" w:lineRule="auto"/>
              <w:rPr>
                <w:color w:val="FFFFFF" w:themeColor="background1"/>
                <w:sz w:val="18"/>
                <w:szCs w:val="18"/>
              </w:rPr>
            </w:pPr>
            <w:r>
              <w:rPr>
                <w:color w:val="FFFFFF" w:themeColor="background1"/>
                <w:sz w:val="18"/>
                <w:szCs w:val="18"/>
              </w:rPr>
              <w:t>Action item</w:t>
            </w:r>
          </w:p>
        </w:tc>
        <w:tc>
          <w:tcPr>
            <w:tcW w:w="2835" w:type="dxa"/>
            <w:tcBorders>
              <w:top w:val="single" w:sz="2" w:space="0" w:color="083A42"/>
              <w:left w:val="single" w:sz="2" w:space="0" w:color="083A42"/>
              <w:bottom w:val="single" w:sz="2" w:space="0" w:color="083A42"/>
              <w:right w:val="single" w:sz="2" w:space="0" w:color="083A42"/>
            </w:tcBorders>
            <w:shd w:val="clear" w:color="auto" w:fill="083A42"/>
          </w:tcPr>
          <w:p w14:paraId="69F6A700" w14:textId="0A053B2A" w:rsidR="009D47C4" w:rsidRPr="009D47C4" w:rsidRDefault="009D47C4" w:rsidP="00C654E5">
            <w:pPr>
              <w:spacing w:before="50" w:after="50" w:line="240" w:lineRule="auto"/>
              <w:rPr>
                <w:color w:val="FFFFFF" w:themeColor="background1"/>
                <w:sz w:val="18"/>
                <w:szCs w:val="18"/>
              </w:rPr>
            </w:pPr>
            <w:r>
              <w:rPr>
                <w:color w:val="FFFFFF" w:themeColor="background1"/>
                <w:sz w:val="18"/>
                <w:szCs w:val="18"/>
              </w:rPr>
              <w:t>Suggested owner</w:t>
            </w:r>
          </w:p>
        </w:tc>
        <w:tc>
          <w:tcPr>
            <w:tcW w:w="1701" w:type="dxa"/>
            <w:tcBorders>
              <w:top w:val="single" w:sz="2" w:space="0" w:color="083A42"/>
              <w:left w:val="single" w:sz="2" w:space="0" w:color="083A42"/>
              <w:bottom w:val="single" w:sz="2" w:space="0" w:color="083A42"/>
              <w:right w:val="single" w:sz="2" w:space="0" w:color="083A42"/>
            </w:tcBorders>
            <w:shd w:val="clear" w:color="auto" w:fill="083A42"/>
          </w:tcPr>
          <w:p w14:paraId="36718EBB" w14:textId="2C5E2041" w:rsidR="009D47C4" w:rsidRPr="009D47C4" w:rsidRDefault="009D47C4" w:rsidP="00C654E5">
            <w:pPr>
              <w:spacing w:before="50" w:after="50" w:line="240" w:lineRule="auto"/>
              <w:rPr>
                <w:color w:val="FFFFFF" w:themeColor="background1"/>
                <w:sz w:val="18"/>
                <w:szCs w:val="18"/>
              </w:rPr>
            </w:pPr>
            <w:r>
              <w:rPr>
                <w:color w:val="FFFFFF" w:themeColor="background1"/>
                <w:sz w:val="18"/>
                <w:szCs w:val="18"/>
              </w:rPr>
              <w:t>Timeframe</w:t>
            </w:r>
          </w:p>
        </w:tc>
      </w:tr>
      <w:tr w:rsidR="009D47C4" w14:paraId="073DC5A2" w14:textId="77777777" w:rsidTr="009D47C4">
        <w:tblPrEx>
          <w:tblCellMar>
            <w:top w:w="0" w:type="dxa"/>
            <w:bottom w:w="0" w:type="dxa"/>
          </w:tblCellMar>
        </w:tblPrEx>
        <w:tc>
          <w:tcPr>
            <w:tcW w:w="1415" w:type="dxa"/>
            <w:tcBorders>
              <w:top w:val="single" w:sz="1" w:space="0" w:color="CCCCCC"/>
              <w:left w:val="single" w:sz="1" w:space="0" w:color="CCCCCC"/>
              <w:bottom w:val="single" w:sz="1" w:space="0" w:color="CCCCCC"/>
              <w:right w:val="single" w:sz="1" w:space="0" w:color="CCCCCC"/>
            </w:tcBorders>
            <w:shd w:val="clear" w:color="auto" w:fill="E8F5F4"/>
          </w:tcPr>
          <w:p w14:paraId="0FC02E41" w14:textId="77777777" w:rsidR="009D47C4" w:rsidRDefault="009D47C4" w:rsidP="00C654E5">
            <w:pPr>
              <w:pStyle w:val="TableText"/>
            </w:pPr>
          </w:p>
        </w:tc>
        <w:tc>
          <w:tcPr>
            <w:tcW w:w="3685" w:type="dxa"/>
            <w:tcBorders>
              <w:top w:val="single" w:sz="1" w:space="0" w:color="CCCCCC"/>
              <w:left w:val="single" w:sz="1" w:space="0" w:color="CCCCCC"/>
              <w:bottom w:val="single" w:sz="1" w:space="0" w:color="CCCCCC"/>
              <w:right w:val="single" w:sz="1" w:space="0" w:color="CCCCCC"/>
            </w:tcBorders>
            <w:shd w:val="clear" w:color="auto" w:fill="E8F5F4"/>
          </w:tcPr>
          <w:p w14:paraId="5ABB2690" w14:textId="77777777" w:rsidR="009D47C4" w:rsidRDefault="009D47C4" w:rsidP="00C654E5">
            <w:pPr>
              <w:pStyle w:val="TableText"/>
            </w:pPr>
          </w:p>
        </w:tc>
        <w:tc>
          <w:tcPr>
            <w:tcW w:w="2835" w:type="dxa"/>
            <w:tcBorders>
              <w:top w:val="single" w:sz="1" w:space="0" w:color="CCCCCC"/>
              <w:left w:val="single" w:sz="1" w:space="0" w:color="CCCCCC"/>
              <w:bottom w:val="single" w:sz="1" w:space="0" w:color="CCCCCC"/>
              <w:right w:val="single" w:sz="1" w:space="0" w:color="CCCCCC"/>
            </w:tcBorders>
            <w:shd w:val="clear" w:color="auto" w:fill="E8F5F4"/>
          </w:tcPr>
          <w:p w14:paraId="58C34FEE" w14:textId="77777777" w:rsidR="009D47C4" w:rsidRDefault="009D47C4" w:rsidP="00C654E5">
            <w:pPr>
              <w:pStyle w:val="TableText"/>
            </w:pPr>
          </w:p>
        </w:tc>
        <w:tc>
          <w:tcPr>
            <w:tcW w:w="1701" w:type="dxa"/>
            <w:tcBorders>
              <w:top w:val="single" w:sz="1" w:space="0" w:color="CCCCCC"/>
              <w:left w:val="single" w:sz="1" w:space="0" w:color="CCCCCC"/>
              <w:bottom w:val="single" w:sz="1" w:space="0" w:color="CCCCCC"/>
              <w:right w:val="single" w:sz="1" w:space="0" w:color="CCCCCC"/>
            </w:tcBorders>
            <w:shd w:val="clear" w:color="auto" w:fill="E8F5F4"/>
          </w:tcPr>
          <w:p w14:paraId="57DE53B2" w14:textId="77777777" w:rsidR="009D47C4" w:rsidRDefault="009D47C4" w:rsidP="00C654E5">
            <w:pPr>
              <w:pStyle w:val="TableText"/>
            </w:pPr>
          </w:p>
        </w:tc>
      </w:tr>
      <w:tr w:rsidR="009D47C4" w14:paraId="1C2E794F" w14:textId="77777777" w:rsidTr="009D47C4">
        <w:tblPrEx>
          <w:tblCellMar>
            <w:top w:w="0" w:type="dxa"/>
            <w:bottom w:w="0" w:type="dxa"/>
          </w:tblCellMar>
        </w:tblPrEx>
        <w:tc>
          <w:tcPr>
            <w:tcW w:w="1415" w:type="dxa"/>
            <w:tcBorders>
              <w:top w:val="single" w:sz="1" w:space="0" w:color="CCCCCC"/>
              <w:left w:val="single" w:sz="1" w:space="0" w:color="CCCCCC"/>
              <w:bottom w:val="single" w:sz="1" w:space="0" w:color="CCCCCC"/>
              <w:right w:val="single" w:sz="1" w:space="0" w:color="CCCCCC"/>
            </w:tcBorders>
            <w:shd w:val="clear" w:color="auto" w:fill="FFFFFF"/>
          </w:tcPr>
          <w:p w14:paraId="67D395E4" w14:textId="77777777" w:rsidR="009D47C4" w:rsidRDefault="009D47C4" w:rsidP="00C654E5">
            <w:pPr>
              <w:pStyle w:val="TableText"/>
            </w:pPr>
          </w:p>
        </w:tc>
        <w:tc>
          <w:tcPr>
            <w:tcW w:w="3685" w:type="dxa"/>
            <w:tcBorders>
              <w:top w:val="single" w:sz="1" w:space="0" w:color="CCCCCC"/>
              <w:left w:val="single" w:sz="1" w:space="0" w:color="CCCCCC"/>
              <w:bottom w:val="single" w:sz="1" w:space="0" w:color="CCCCCC"/>
              <w:right w:val="single" w:sz="1" w:space="0" w:color="CCCCCC"/>
            </w:tcBorders>
            <w:shd w:val="clear" w:color="auto" w:fill="FFFFFF"/>
          </w:tcPr>
          <w:p w14:paraId="3B2A34F4" w14:textId="77777777" w:rsidR="009D47C4" w:rsidRDefault="009D47C4" w:rsidP="00C654E5">
            <w:pPr>
              <w:pStyle w:val="TableText"/>
            </w:pPr>
          </w:p>
        </w:tc>
        <w:tc>
          <w:tcPr>
            <w:tcW w:w="2835" w:type="dxa"/>
            <w:tcBorders>
              <w:top w:val="single" w:sz="1" w:space="0" w:color="CCCCCC"/>
              <w:left w:val="single" w:sz="1" w:space="0" w:color="CCCCCC"/>
              <w:bottom w:val="single" w:sz="1" w:space="0" w:color="CCCCCC"/>
              <w:right w:val="single" w:sz="1" w:space="0" w:color="CCCCCC"/>
            </w:tcBorders>
            <w:shd w:val="clear" w:color="auto" w:fill="FFFFFF"/>
          </w:tcPr>
          <w:p w14:paraId="5D3E4869" w14:textId="77777777" w:rsidR="009D47C4" w:rsidRDefault="009D47C4" w:rsidP="00C654E5">
            <w:pPr>
              <w:pStyle w:val="TableText"/>
            </w:pPr>
          </w:p>
        </w:tc>
        <w:tc>
          <w:tcPr>
            <w:tcW w:w="1701" w:type="dxa"/>
            <w:tcBorders>
              <w:top w:val="single" w:sz="1" w:space="0" w:color="CCCCCC"/>
              <w:left w:val="single" w:sz="1" w:space="0" w:color="CCCCCC"/>
              <w:bottom w:val="single" w:sz="1" w:space="0" w:color="CCCCCC"/>
              <w:right w:val="single" w:sz="1" w:space="0" w:color="CCCCCC"/>
            </w:tcBorders>
            <w:shd w:val="clear" w:color="auto" w:fill="FFFFFF"/>
          </w:tcPr>
          <w:p w14:paraId="396CC0D5" w14:textId="77777777" w:rsidR="009D47C4" w:rsidRDefault="009D47C4" w:rsidP="00C654E5">
            <w:pPr>
              <w:pStyle w:val="TableText"/>
            </w:pPr>
          </w:p>
        </w:tc>
      </w:tr>
      <w:tr w:rsidR="009D47C4" w14:paraId="6ACEDBB9" w14:textId="77777777" w:rsidTr="009D47C4">
        <w:tblPrEx>
          <w:tblCellMar>
            <w:top w:w="0" w:type="dxa"/>
            <w:bottom w:w="0" w:type="dxa"/>
          </w:tblCellMar>
        </w:tblPrEx>
        <w:tc>
          <w:tcPr>
            <w:tcW w:w="1415" w:type="dxa"/>
            <w:tcBorders>
              <w:top w:val="single" w:sz="1" w:space="0" w:color="CCCCCC"/>
              <w:left w:val="single" w:sz="1" w:space="0" w:color="CCCCCC"/>
              <w:bottom w:val="single" w:sz="1" w:space="0" w:color="CCCCCC"/>
              <w:right w:val="single" w:sz="1" w:space="0" w:color="CCCCCC"/>
            </w:tcBorders>
            <w:shd w:val="clear" w:color="auto" w:fill="E8F5F4"/>
          </w:tcPr>
          <w:p w14:paraId="3DF07B94" w14:textId="77777777" w:rsidR="009D47C4" w:rsidRDefault="009D47C4" w:rsidP="00C654E5">
            <w:pPr>
              <w:pStyle w:val="TableText"/>
            </w:pPr>
          </w:p>
        </w:tc>
        <w:tc>
          <w:tcPr>
            <w:tcW w:w="3685" w:type="dxa"/>
            <w:tcBorders>
              <w:top w:val="single" w:sz="1" w:space="0" w:color="CCCCCC"/>
              <w:left w:val="single" w:sz="1" w:space="0" w:color="CCCCCC"/>
              <w:bottom w:val="single" w:sz="1" w:space="0" w:color="CCCCCC"/>
              <w:right w:val="single" w:sz="1" w:space="0" w:color="CCCCCC"/>
            </w:tcBorders>
            <w:shd w:val="clear" w:color="auto" w:fill="E8F5F4"/>
          </w:tcPr>
          <w:p w14:paraId="4DC1B93A" w14:textId="77777777" w:rsidR="009D47C4" w:rsidRDefault="009D47C4" w:rsidP="00C654E5">
            <w:pPr>
              <w:pStyle w:val="TableText"/>
            </w:pPr>
          </w:p>
        </w:tc>
        <w:tc>
          <w:tcPr>
            <w:tcW w:w="2835" w:type="dxa"/>
            <w:tcBorders>
              <w:top w:val="single" w:sz="1" w:space="0" w:color="CCCCCC"/>
              <w:left w:val="single" w:sz="1" w:space="0" w:color="CCCCCC"/>
              <w:bottom w:val="single" w:sz="1" w:space="0" w:color="CCCCCC"/>
              <w:right w:val="single" w:sz="1" w:space="0" w:color="CCCCCC"/>
            </w:tcBorders>
            <w:shd w:val="clear" w:color="auto" w:fill="E8F5F4"/>
          </w:tcPr>
          <w:p w14:paraId="1BEBC575" w14:textId="77777777" w:rsidR="009D47C4" w:rsidRDefault="009D47C4" w:rsidP="00C654E5">
            <w:pPr>
              <w:pStyle w:val="TableText"/>
            </w:pPr>
          </w:p>
        </w:tc>
        <w:tc>
          <w:tcPr>
            <w:tcW w:w="1701" w:type="dxa"/>
            <w:tcBorders>
              <w:top w:val="single" w:sz="1" w:space="0" w:color="CCCCCC"/>
              <w:left w:val="single" w:sz="1" w:space="0" w:color="CCCCCC"/>
              <w:bottom w:val="single" w:sz="1" w:space="0" w:color="CCCCCC"/>
              <w:right w:val="single" w:sz="1" w:space="0" w:color="CCCCCC"/>
            </w:tcBorders>
            <w:shd w:val="clear" w:color="auto" w:fill="E8F5F4"/>
          </w:tcPr>
          <w:p w14:paraId="3F02D5BF" w14:textId="77777777" w:rsidR="009D47C4" w:rsidRDefault="009D47C4" w:rsidP="00C654E5">
            <w:pPr>
              <w:pStyle w:val="TableText"/>
            </w:pPr>
          </w:p>
        </w:tc>
      </w:tr>
      <w:tr w14:paraId="11000000" w14:textId="77777777">
        <w:tblPrEx>
          <w:tblCellMar>
            <w:top w:w="0" w:type="dxa"/>
            <w:bottom w:w="0" w:type="dxa"/>
          </w:tblCellMar>
        </w:tblPrEx>
        <w:tc>
          <w:tcPr>
            <w:tcW w:w="1415" w:type="dxa"/>
            <w:tcBorders>
              <w:top w:val="single" w:sz="1" w:space="0" w:color="CCCCCC"/>
              <w:left w:val="single" w:sz="1" w:space="0" w:color="CCCCCC"/>
              <w:bottom w:val="single" w:sz="1" w:space="0" w:color="CCCCCC"/>
              <w:right w:val="single" w:sz="1" w:space="0" w:color="CCCCCC"/>
            </w:tcBorders>
            <w:shd w:val="clear" w:color="auto" w:fill="E8F5F4"/>
          </w:tcPr>
          <w:p w14:paraId="11000001" w14:textId="77777777" w:rsidR="00BD71B1" w:rsidRDefault="00BD71B1" w:rsidP="009D47C4">
            <w:pPr>
              <w:pStyle w:val="TableText"/>
            </w:pPr>
            <w:r>
              <w:t xml:space="preserve">HIGH</w:t>
            </w:r>
          </w:p>
        </w:tc>
        <w:tc>
          <w:tcPr>
            <w:tcW w:w="3685" w:type="dxa"/>
            <w:tcBorders>
              <w:top w:val="single" w:sz="1" w:space="0" w:color="CCCCCC"/>
              <w:left w:val="single" w:sz="1" w:space="0" w:color="CCCCCC"/>
              <w:bottom w:val="single" w:sz="1" w:space="0" w:color="CCCCCC"/>
              <w:right w:val="single" w:sz="1" w:space="0" w:color="CCCCCC"/>
            </w:tcBorders>
            <w:shd w:val="clear" w:color="auto" w:fill="E8F5F4"/>
          </w:tcPr>
          <w:p w14:paraId="11000002" w14:textId="77777777" w:rsidR="00BD71B1" w:rsidRDefault="00BD71B1" w:rsidP="009D47C4">
            <w:pPr>
              <w:pStyle w:val="TableText"/>
            </w:pPr>
            <w:r>
              <w:t xml:space="preserve">Prepare QoN response on departmental advices re unacceptable impacts criteria (Henderson QoN 1) — requires Secretary-level clearance and legal review before submission</w:t>
            </w:r>
          </w:p>
        </w:tc>
        <w:tc>
          <w:tcPr>
            <w:tcW w:w="2835" w:type="dxa"/>
            <w:tcBorders>
              <w:top w:val="single" w:sz="1" w:space="0" w:color="CCCCCC"/>
              <w:left w:val="single" w:sz="1" w:space="0" w:color="CCCCCC"/>
              <w:bottom w:val="single" w:sz="1" w:space="0" w:color="CCCCCC"/>
              <w:right w:val="single" w:sz="1" w:space="0" w:color="CCCCCC"/>
            </w:tcBorders>
            <w:shd w:val="clear" w:color="auto" w:fill="E8F5F4"/>
          </w:tcPr>
          <w:p w14:paraId="11000003" w14:textId="77777777" w:rsidR="00BD71B1" w:rsidRDefault="00BD71B1" w:rsidP="009D47C4">
            <w:pPr>
              <w:pStyle w:val="TableText"/>
            </w:pPr>
            <w:r>
              <w:t xml:space="preserve">Deputy Secretary / General Counsel</w:t>
            </w:r>
          </w:p>
        </w:tc>
        <w:tc>
          <w:tcPr>
            <w:tcW w:w="1701" w:type="dxa"/>
            <w:tcBorders>
              <w:top w:val="single" w:sz="1" w:space="0" w:color="CCCCCC"/>
              <w:left w:val="single" w:sz="1" w:space="0" w:color="CCCCCC"/>
              <w:bottom w:val="single" w:sz="1" w:space="0" w:color="CCCCCC"/>
              <w:right w:val="single" w:sz="1" w:space="0" w:color="CCCCCC"/>
            </w:tcBorders>
            <w:shd w:val="clear" w:color="auto" w:fill="E8F5F4"/>
          </w:tcPr>
          <w:p w14:paraId="11000004" w14:textId="77777777" w:rsidR="00BD71B1" w:rsidRDefault="00BD71B1" w:rsidP="009D47C4">
            <w:pPr>
              <w:pStyle w:val="TableText"/>
            </w:pPr>
            <w:r>
              <w:t xml:space="preserve">Immediate — within 2 weeks</w:t>
            </w:r>
          </w:p>
        </w:tc>
      </w:tr>
      <w:tr w14:paraId="1100000A" w14:textId="77777777">
        <w:tblPrEx>
          <w:tblCellMar>
            <w:top w:w="0" w:type="dxa"/>
            <w:bottom w:w="0" w:type="dxa"/>
          </w:tblCellMar>
        </w:tblPrEx>
        <w:tc>
          <w:tcPr>
            <w:tcW w:w="1415" w:type="dxa"/>
            <w:tcBorders>
              <w:top w:val="single" w:sz="1" w:space="0" w:color="CCCCCC"/>
              <w:left w:val="single" w:sz="1" w:space="0" w:color="CCCCCC"/>
              <w:bottom w:val="single" w:sz="1" w:space="0" w:color="CCCCCC"/>
              <w:right w:val="single" w:sz="1" w:space="0" w:color="CCCCCC"/>
            </w:tcBorders>
            <w:shd w:val="clear" w:color="auto" w:fill="FFFFFF"/>
          </w:tcPr>
          <w:p w14:paraId="1100000B" w14:textId="77777777" w:rsidR="00BD71B1" w:rsidRDefault="00BD71B1" w:rsidP="009D47C4">
            <w:pPr>
              <w:pStyle w:val="TableText"/>
            </w:pPr>
            <w:r>
              <w:t xml:space="preserve">HIGH</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Pr>
          <w:p w14:paraId="1100000C" w14:textId="77777777" w:rsidR="00BD71B1" w:rsidRDefault="00BD71B1" w:rsidP="009D47C4">
            <w:pPr>
              <w:pStyle w:val="TableText"/>
            </w:pPr>
            <w:r>
              <w:t xml:space="preserve">Prepare QoN response on undisclosed draft amendments (Henderson QoN 2)</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Pr>
          <w:p w14:paraId="1100000D" w14:textId="77777777" w:rsidR="00BD71B1" w:rsidRDefault="00BD71B1" w:rsidP="009D47C4">
            <w:pPr>
              <w:pStyle w:val="TableText"/>
            </w:pPr>
            <w:r>
              <w:t xml:space="preserve">Deputy Secretary / Minister's office</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Pr>
          <w:p w14:paraId="1100000E" w14:textId="77777777" w:rsidR="00BD71B1" w:rsidRDefault="00BD71B1" w:rsidP="009D47C4">
            <w:pPr>
              <w:pStyle w:val="TableText"/>
            </w:pPr>
            <w:r>
              <w:t xml:space="preserve">Immediate — within 2 weeks</w:t>
            </w:r>
          </w:p>
        </w:tc>
      </w:tr>
      <w:tr w14:paraId="11000014" w14:textId="77777777">
        <w:tblPrEx>
          <w:tblCellMar>
            <w:top w:w="0" w:type="dxa"/>
            <w:bottom w:w="0" w:type="dxa"/>
          </w:tblCellMar>
        </w:tblPrEx>
        <w:tc>
          <w:tcPr>
            <w:tcW w:w="1415" w:type="dxa"/>
            <w:tcBorders>
              <w:top w:val="single" w:sz="1" w:space="0" w:color="CCCCCC"/>
              <w:left w:val="single" w:sz="1" w:space="0" w:color="CCCCCC"/>
              <w:bottom w:val="single" w:sz="1" w:space="0" w:color="CCCCCC"/>
              <w:right w:val="single" w:sz="1" w:space="0" w:color="CCCCCC"/>
            </w:tcBorders>
            <w:shd w:val="clear" w:color="auto" w:fill="E8F5F4"/>
          </w:tcPr>
          <w:p w14:paraId="11000015" w14:textId="77777777" w:rsidR="00BD71B1" w:rsidRDefault="00BD71B1" w:rsidP="009D47C4">
            <w:pPr>
              <w:pStyle w:val="TableText"/>
            </w:pPr>
            <w:r>
              <w:t xml:space="preserve">HIGH</w:t>
            </w:r>
          </w:p>
        </w:tc>
        <w:tc>
          <w:tcPr>
            <w:tcW w:w="3685" w:type="dxa"/>
            <w:tcBorders>
              <w:top w:val="single" w:sz="1" w:space="0" w:color="CCCCCC"/>
              <w:left w:val="single" w:sz="1" w:space="0" w:color="CCCCCC"/>
              <w:bottom w:val="single" w:sz="1" w:space="0" w:color="CCCCCC"/>
              <w:right w:val="single" w:sz="1" w:space="0" w:color="CCCCCC"/>
            </w:tcBorders>
            <w:shd w:val="clear" w:color="auto" w:fill="E8F5F4"/>
          </w:tcPr>
          <w:p w14:paraId="11000016" w14:textId="77777777" w:rsidR="00BD71B1" w:rsidRDefault="00BD71B1" w:rsidP="009D47C4">
            <w:pPr>
              <w:pStyle w:val="TableText"/>
            </w:pPr>
            <w:r>
              <w:t xml:space="preserve">Prepare assessment pathway usage data table (QoN 3)</w:t>
            </w:r>
          </w:p>
        </w:tc>
        <w:tc>
          <w:tcPr>
            <w:tcW w:w="2835" w:type="dxa"/>
            <w:tcBorders>
              <w:top w:val="single" w:sz="1" w:space="0" w:color="CCCCCC"/>
              <w:left w:val="single" w:sz="1" w:space="0" w:color="CCCCCC"/>
              <w:bottom w:val="single" w:sz="1" w:space="0" w:color="CCCCCC"/>
              <w:right w:val="single" w:sz="1" w:space="0" w:color="CCCCCC"/>
            </w:tcBorders>
            <w:shd w:val="clear" w:color="auto" w:fill="E8F5F4"/>
          </w:tcPr>
          <w:p w14:paraId="11000017" w14:textId="77777777" w:rsidR="00BD71B1" w:rsidRDefault="00BD71B1" w:rsidP="009D47C4">
            <w:pPr>
              <w:pStyle w:val="TableText"/>
            </w:pPr>
            <w:r>
              <w:t xml:space="preserve">Assessment policy branch</w:t>
            </w:r>
          </w:p>
        </w:tc>
        <w:tc>
          <w:tcPr>
            <w:tcW w:w="1701" w:type="dxa"/>
            <w:tcBorders>
              <w:top w:val="single" w:sz="1" w:space="0" w:color="CCCCCC"/>
              <w:left w:val="single" w:sz="1" w:space="0" w:color="CCCCCC"/>
              <w:bottom w:val="single" w:sz="1" w:space="0" w:color="CCCCCC"/>
              <w:right w:val="single" w:sz="1" w:space="0" w:color="CCCCCC"/>
            </w:tcBorders>
            <w:shd w:val="clear" w:color="auto" w:fill="E8F5F4"/>
          </w:tcPr>
          <w:p w14:paraId="11000018" w14:textId="77777777" w:rsidR="00BD71B1" w:rsidRDefault="00BD71B1" w:rsidP="009D47C4">
            <w:pPr>
              <w:pStyle w:val="TableText"/>
            </w:pPr>
            <w:r>
              <w:t xml:space="preserve">Within 1 week</w:t>
            </w:r>
          </w:p>
        </w:tc>
      </w:tr>
      <w:tr w14:paraId="1100001E" w14:textId="77777777">
        <w:tblPrEx>
          <w:tblCellMar>
            <w:top w:w="0" w:type="dxa"/>
            <w:bottom w:w="0" w:type="dxa"/>
          </w:tblCellMar>
        </w:tblPrEx>
        <w:tc>
          <w:tcPr>
            <w:tcW w:w="1415" w:type="dxa"/>
            <w:tcBorders>
              <w:top w:val="single" w:sz="1" w:space="0" w:color="CCCCCC"/>
              <w:left w:val="single" w:sz="1" w:space="0" w:color="CCCCCC"/>
              <w:bottom w:val="single" w:sz="1" w:space="0" w:color="CCCCCC"/>
              <w:right w:val="single" w:sz="1" w:space="0" w:color="CCCCCC"/>
            </w:tcBorders>
            <w:shd w:val="clear" w:color="auto" w:fill="FFFFFF"/>
          </w:tcPr>
          <w:p w14:paraId="1100001F" w14:textId="77777777" w:rsidR="00BD71B1" w:rsidRDefault="00BD71B1" w:rsidP="009D47C4">
            <w:pPr>
              <w:pStyle w:val="TableText"/>
            </w:pPr>
            <w:r>
              <w:t xml:space="preserve">HIGH</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Pr>
          <w:p w14:paraId="11000020" w14:textId="77777777" w:rsidR="00BD71B1" w:rsidRDefault="00BD71B1" w:rsidP="009D47C4">
            <w:pPr>
              <w:pStyle w:val="TableText"/>
            </w:pPr>
            <w:r>
              <w:t xml:space="preserve">Obtain TSSC submission on publication; prepare departmental response to its conclusions</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Pr>
          <w:p w14:paraId="11000021" w14:textId="77777777" w:rsidR="00BD71B1" w:rsidRDefault="00BD71B1" w:rsidP="009D47C4">
            <w:pPr>
              <w:pStyle w:val="TableText"/>
            </w:pPr>
            <w:r>
              <w:t xml:space="preserve">Biodiversity policy / Legal</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Pr>
          <w:p w14:paraId="11000022" w14:textId="77777777" w:rsidR="00BD71B1" w:rsidRDefault="00BD71B1" w:rsidP="009D47C4">
            <w:pPr>
              <w:pStyle w:val="TableText"/>
            </w:pPr>
            <w:r>
              <w:t xml:space="preserve">Within 1 week of TSSC publication</w:t>
            </w:r>
          </w:p>
        </w:tc>
      </w:tr>
      <w:tr w14:paraId="11000028" w14:textId="77777777">
        <w:tblPrEx>
          <w:tblCellMar>
            <w:top w:w="0" w:type="dxa"/>
            <w:bottom w:w="0" w:type="dxa"/>
          </w:tblCellMar>
        </w:tblPrEx>
        <w:tc>
          <w:tcPr>
            <w:tcW w:w="1415" w:type="dxa"/>
            <w:tcBorders>
              <w:top w:val="single" w:sz="1" w:space="0" w:color="CCCCCC"/>
              <w:left w:val="single" w:sz="1" w:space="0" w:color="CCCCCC"/>
              <w:bottom w:val="single" w:sz="1" w:space="0" w:color="CCCCCC"/>
              <w:right w:val="single" w:sz="1" w:space="0" w:color="CCCCCC"/>
            </w:tcBorders>
            <w:shd w:val="clear" w:color="auto" w:fill="E8F5F4"/>
          </w:tcPr>
          <w:p w14:paraId="11000029" w14:textId="77777777" w:rsidR="00BD71B1" w:rsidRDefault="00BD71B1" w:rsidP="009D47C4">
            <w:pPr>
              <w:pStyle w:val="TableText"/>
            </w:pPr>
            <w:r>
              <w:t xml:space="preserve">HIGH</w:t>
            </w:r>
          </w:p>
        </w:tc>
        <w:tc>
          <w:tcPr>
            <w:tcW w:w="3685" w:type="dxa"/>
            <w:tcBorders>
              <w:top w:val="single" w:sz="1" w:space="0" w:color="CCCCCC"/>
              <w:left w:val="single" w:sz="1" w:space="0" w:color="CCCCCC"/>
              <w:bottom w:val="single" w:sz="1" w:space="0" w:color="CCCCCC"/>
              <w:right w:val="single" w:sz="1" w:space="0" w:color="CCCCCC"/>
            </w:tcBorders>
            <w:shd w:val="clear" w:color="auto" w:fill="E8F5F4"/>
          </w:tcPr>
          <w:p w14:paraId="1100002A" w14:textId="77777777" w:rsidR="00BD71B1" w:rsidRDefault="00BD71B1" w:rsidP="009D47C4">
            <w:pPr>
              <w:pStyle w:val="TableText"/>
            </w:pPr>
            <w:r>
              <w:t xml:space="preserve">Develop species-outcomes brief — specific species with protective mechanism analysis; engage TSSC for input</w:t>
            </w:r>
          </w:p>
        </w:tc>
        <w:tc>
          <w:tcPr>
            <w:tcW w:w="2835" w:type="dxa"/>
            <w:tcBorders>
              <w:top w:val="single" w:sz="1" w:space="0" w:color="CCCCCC"/>
              <w:left w:val="single" w:sz="1" w:space="0" w:color="CCCCCC"/>
              <w:bottom w:val="single" w:sz="1" w:space="0" w:color="CCCCCC"/>
              <w:right w:val="single" w:sz="1" w:space="0" w:color="CCCCCC"/>
            </w:tcBorders>
            <w:shd w:val="clear" w:color="auto" w:fill="E8F5F4"/>
          </w:tcPr>
          <w:p w14:paraId="1100002B" w14:textId="77777777" w:rsidR="00BD71B1" w:rsidRDefault="00BD71B1" w:rsidP="009D47C4">
            <w:pPr>
              <w:pStyle w:val="TableText"/>
            </w:pPr>
            <w:r>
              <w:t xml:space="preserve">Assessment policy / TSSC liaison</w:t>
            </w:r>
          </w:p>
        </w:tc>
        <w:tc>
          <w:tcPr>
            <w:tcW w:w="1701" w:type="dxa"/>
            <w:tcBorders>
              <w:top w:val="single" w:sz="1" w:space="0" w:color="CCCCCC"/>
              <w:left w:val="single" w:sz="1" w:space="0" w:color="CCCCCC"/>
              <w:bottom w:val="single" w:sz="1" w:space="0" w:color="CCCCCC"/>
              <w:right w:val="single" w:sz="1" w:space="0" w:color="CCCCCC"/>
            </w:tcBorders>
            <w:shd w:val="clear" w:color="auto" w:fill="E8F5F4"/>
          </w:tcPr>
          <w:p w14:paraId="1100002C" w14:textId="77777777" w:rsidR="00BD71B1" w:rsidRDefault="00BD71B1" w:rsidP="009D47C4">
            <w:pPr>
              <w:pStyle w:val="TableText"/>
            </w:pPr>
            <w:r>
              <w:t xml:space="preserve">Before next hearing</w:t>
            </w:r>
          </w:p>
        </w:tc>
      </w:tr>
      <w:tr w14:paraId="11000032" w14:textId="77777777">
        <w:tblPrEx>
          <w:tblCellMar>
            <w:top w:w="0" w:type="dxa"/>
            <w:bottom w:w="0" w:type="dxa"/>
          </w:tblCellMar>
        </w:tblPrEx>
        <w:tc>
          <w:tcPr>
            <w:tcW w:w="1415" w:type="dxa"/>
            <w:tcBorders>
              <w:top w:val="single" w:sz="1" w:space="0" w:color="CCCCCC"/>
              <w:left w:val="single" w:sz="1" w:space="0" w:color="CCCCCC"/>
              <w:bottom w:val="single" w:sz="1" w:space="0" w:color="CCCCCC"/>
              <w:right w:val="single" w:sz="1" w:space="0" w:color="CCCCCC"/>
            </w:tcBorders>
            <w:shd w:val="clear" w:color="auto" w:fill="FFFFFF"/>
          </w:tcPr>
          <w:p w14:paraId="11000033" w14:textId="77777777" w:rsidR="00BD71B1" w:rsidRDefault="00BD71B1" w:rsidP="009D47C4">
            <w:pPr>
              <w:pStyle w:val="TableText"/>
            </w:pPr>
            <w:r>
              <w:t xml:space="preserve">MEDIUM</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Pr>
          <w:p w14:paraId="11000034" w14:textId="77777777" w:rsidR="00BD71B1" w:rsidRDefault="00BD71B1" w:rsidP="009D47C4">
            <w:pPr>
              <w:pStyle w:val="TableText"/>
            </w:pPr>
            <w:r>
              <w:t xml:space="preserve">Obtain legal advice on sections 38 and 42 — do NES apply to RFA-covered activities as the bill is currently drafted?</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Pr>
          <w:p w14:paraId="11000035" w14:textId="77777777" w:rsidR="00BD71B1" w:rsidRDefault="00BD71B1" w:rsidP="009D47C4">
            <w:pPr>
              <w:pStyle w:val="TableText"/>
            </w:pPr>
            <w:r>
              <w:t xml:space="preserve">Legal team</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Pr>
          <w:p w14:paraId="11000036" w14:textId="77777777" w:rsidR="00BD71B1" w:rsidRDefault="00BD71B1" w:rsidP="009D47C4">
            <w:pPr>
              <w:pStyle w:val="TableText"/>
            </w:pPr>
            <w:r>
              <w:t xml:space="preserve">Within 2 weeks</w:t>
            </w:r>
          </w:p>
        </w:tc>
      </w:tr>
      <w:tr w14:paraId="1100003C" w14:textId="77777777">
        <w:tblPrEx>
          <w:tblCellMar>
            <w:top w:w="0" w:type="dxa"/>
            <w:bottom w:w="0" w:type="dxa"/>
          </w:tblCellMar>
        </w:tblPrEx>
        <w:tc>
          <w:tcPr>
            <w:tcW w:w="1415" w:type="dxa"/>
            <w:tcBorders>
              <w:top w:val="single" w:sz="1" w:space="0" w:color="CCCCCC"/>
              <w:left w:val="single" w:sz="1" w:space="0" w:color="CCCCCC"/>
              <w:bottom w:val="single" w:sz="1" w:space="0" w:color="CCCCCC"/>
              <w:right w:val="single" w:sz="1" w:space="0" w:color="CCCCCC"/>
            </w:tcBorders>
            <w:shd w:val="clear" w:color="auto" w:fill="E8F5F4"/>
          </w:tcPr>
          <w:p w14:paraId="1100003D" w14:textId="77777777" w:rsidR="00BD71B1" w:rsidRDefault="00BD71B1" w:rsidP="009D47C4">
            <w:pPr>
              <w:pStyle w:val="TableText"/>
            </w:pPr>
            <w:r>
              <w:t xml:space="preserve">MEDIUM</w:t>
            </w:r>
          </w:p>
        </w:tc>
        <w:tc>
          <w:tcPr>
            <w:tcW w:w="3685" w:type="dxa"/>
            <w:tcBorders>
              <w:top w:val="single" w:sz="1" w:space="0" w:color="CCCCCC"/>
              <w:left w:val="single" w:sz="1" w:space="0" w:color="CCCCCC"/>
              <w:bottom w:val="single" w:sz="1" w:space="0" w:color="CCCCCC"/>
              <w:right w:val="single" w:sz="1" w:space="0" w:color="CCCCCC"/>
            </w:tcBorders>
            <w:shd w:val="clear" w:color="auto" w:fill="E8F5F4"/>
          </w:tcPr>
          <w:p w14:paraId="1100003E" w14:textId="77777777" w:rsidR="00BD71B1" w:rsidRDefault="00BD71B1" w:rsidP="009D47C4">
            <w:pPr>
              <w:pStyle w:val="TableText"/>
            </w:pPr>
            <w:r>
              <w:t xml:space="preserve">Obtain legal advice on NORMs / nuclear actions definition — are mineral sands and rare earths inadvertently captured?</w:t>
            </w:r>
          </w:p>
        </w:tc>
        <w:tc>
          <w:tcPr>
            <w:tcW w:w="2835" w:type="dxa"/>
            <w:tcBorders>
              <w:top w:val="single" w:sz="1" w:space="0" w:color="CCCCCC"/>
              <w:left w:val="single" w:sz="1" w:space="0" w:color="CCCCCC"/>
              <w:bottom w:val="single" w:sz="1" w:space="0" w:color="CCCCCC"/>
              <w:right w:val="single" w:sz="1" w:space="0" w:color="CCCCCC"/>
            </w:tcBorders>
            <w:shd w:val="clear" w:color="auto" w:fill="E8F5F4"/>
          </w:tcPr>
          <w:p w14:paraId="1100003F" w14:textId="77777777" w:rsidR="00BD71B1" w:rsidRDefault="00BD71B1" w:rsidP="009D47C4">
            <w:pPr>
              <w:pStyle w:val="TableText"/>
            </w:pPr>
            <w:r>
              <w:t xml:space="preserve">Legal team</w:t>
            </w:r>
          </w:p>
        </w:tc>
        <w:tc>
          <w:tcPr>
            <w:tcW w:w="1701" w:type="dxa"/>
            <w:tcBorders>
              <w:top w:val="single" w:sz="1" w:space="0" w:color="CCCCCC"/>
              <w:left w:val="single" w:sz="1" w:space="0" w:color="CCCCCC"/>
              <w:bottom w:val="single" w:sz="1" w:space="0" w:color="CCCCCC"/>
              <w:right w:val="single" w:sz="1" w:space="0" w:color="CCCCCC"/>
            </w:tcBorders>
            <w:shd w:val="clear" w:color="auto" w:fill="E8F5F4"/>
          </w:tcPr>
          <w:p w14:paraId="11000040" w14:textId="77777777" w:rsidR="00BD71B1" w:rsidRDefault="00BD71B1" w:rsidP="009D47C4">
            <w:pPr>
              <w:pStyle w:val="TableText"/>
            </w:pPr>
            <w:r>
              <w:t xml:space="preserve">Within 2 weeks</w:t>
            </w:r>
          </w:p>
        </w:tc>
      </w:tr>
      <w:tr w14:paraId="11000046" w14:textId="77777777">
        <w:tblPrEx>
          <w:tblCellMar>
            <w:top w:w="0" w:type="dxa"/>
            <w:bottom w:w="0" w:type="dxa"/>
          </w:tblCellMar>
        </w:tblPrEx>
        <w:tc>
          <w:tcPr>
            <w:tcW w:w="1415" w:type="dxa"/>
            <w:tcBorders>
              <w:top w:val="single" w:sz="1" w:space="0" w:color="CCCCCC"/>
              <w:left w:val="single" w:sz="1" w:space="0" w:color="CCCCCC"/>
              <w:bottom w:val="single" w:sz="1" w:space="0" w:color="CCCCCC"/>
              <w:right w:val="single" w:sz="1" w:space="0" w:color="CCCCCC"/>
            </w:tcBorders>
            <w:shd w:val="clear" w:color="auto" w:fill="FFFFFF"/>
          </w:tcPr>
          <w:p w14:paraId="11000047" w14:textId="77777777" w:rsidR="00BD71B1" w:rsidRDefault="00BD71B1" w:rsidP="009D47C4">
            <w:pPr>
              <w:pStyle w:val="TableText"/>
            </w:pPr>
            <w:r>
              <w:t xml:space="preserve">MEDIUM</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Pr>
          <w:p w14:paraId="11000048" w14:textId="77777777" w:rsidR="00BD71B1" w:rsidRDefault="00BD71B1" w:rsidP="009D47C4">
            <w:pPr>
              <w:pStyle w:val="TableText"/>
            </w:pPr>
            <w:r>
              <w:t xml:space="preserve">Develop clearer public explanation of emissions disclosure provision — what decision-makers do with the information and how it connects to climate policy</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Pr>
          <w:p w14:paraId="11000049" w14:textId="77777777" w:rsidR="00BD71B1" w:rsidRDefault="00BD71B1" w:rsidP="009D47C4">
            <w:pPr>
              <w:pStyle w:val="TableText"/>
            </w:pPr>
            <w:r>
              <w:t xml:space="preserve">Assessment policy / Climate policy</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Pr>
          <w:p w14:paraId="1100004A" w14:textId="77777777" w:rsidR="00BD71B1" w:rsidRDefault="00BD71B1" w:rsidP="009D47C4">
            <w:pPr>
              <w:pStyle w:val="TableText"/>
            </w:pPr>
            <w:r>
              <w:t xml:space="preserve">Before next hearing</w:t>
            </w:r>
          </w:p>
        </w:tc>
      </w:tr>
      <w:tr w14:paraId="11000050" w14:textId="77777777">
        <w:tblPrEx>
          <w:tblCellMar>
            <w:top w:w="0" w:type="dxa"/>
            <w:bottom w:w="0" w:type="dxa"/>
          </w:tblCellMar>
        </w:tblPrEx>
        <w:tc>
          <w:tcPr>
            <w:tcW w:w="1415" w:type="dxa"/>
            <w:tcBorders>
              <w:top w:val="single" w:sz="1" w:space="0" w:color="CCCCCC"/>
              <w:left w:val="single" w:sz="1" w:space="0" w:color="CCCCCC"/>
              <w:bottom w:val="single" w:sz="1" w:space="0" w:color="CCCCCC"/>
              <w:right w:val="single" w:sz="1" w:space="0" w:color="CCCCCC"/>
            </w:tcBorders>
            <w:shd w:val="clear" w:color="auto" w:fill="E8F5F4"/>
          </w:tcPr>
          <w:p w14:paraId="11000051" w14:textId="77777777" w:rsidR="00BD71B1" w:rsidRDefault="00BD71B1" w:rsidP="009D47C4">
            <w:pPr>
              <w:pStyle w:val="TableText"/>
            </w:pPr>
            <w:r>
              <w:t xml:space="preserve">MEDIUM</w:t>
            </w:r>
          </w:p>
        </w:tc>
        <w:tc>
          <w:tcPr>
            <w:tcW w:w="3685" w:type="dxa"/>
            <w:tcBorders>
              <w:top w:val="single" w:sz="1" w:space="0" w:color="CCCCCC"/>
              <w:left w:val="single" w:sz="1" w:space="0" w:color="CCCCCC"/>
              <w:bottom w:val="single" w:sz="1" w:space="0" w:color="CCCCCC"/>
              <w:right w:val="single" w:sz="1" w:space="0" w:color="CCCCCC"/>
            </w:tcBorders>
            <w:shd w:val="clear" w:color="auto" w:fill="E8F5F4"/>
          </w:tcPr>
          <w:p w14:paraId="11000052" w14:textId="77777777" w:rsidR="00BD71B1" w:rsidRDefault="00BD71B1" w:rsidP="009D47C4">
            <w:pPr>
              <w:pStyle w:val="TableText"/>
            </w:pPr>
            <w:r>
              <w:t xml:space="preserve">Develop a worked example of the national interest exemption operating at the end of the assessment pathway</w:t>
            </w:r>
          </w:p>
        </w:tc>
        <w:tc>
          <w:tcPr>
            <w:tcW w:w="2835" w:type="dxa"/>
            <w:tcBorders>
              <w:top w:val="single" w:sz="1" w:space="0" w:color="CCCCCC"/>
              <w:left w:val="single" w:sz="1" w:space="0" w:color="CCCCCC"/>
              <w:bottom w:val="single" w:sz="1" w:space="0" w:color="CCCCCC"/>
              <w:right w:val="single" w:sz="1" w:space="0" w:color="CCCCCC"/>
            </w:tcBorders>
            <w:shd w:val="clear" w:color="auto" w:fill="E8F5F4"/>
          </w:tcPr>
          <w:p w14:paraId="11000053" w14:textId="77777777" w:rsidR="00BD71B1" w:rsidRDefault="00BD71B1" w:rsidP="009D47C4">
            <w:pPr>
              <w:pStyle w:val="TableText"/>
            </w:pPr>
            <w:r>
              <w:t xml:space="preserve">Assessment policy</w:t>
            </w:r>
          </w:p>
        </w:tc>
        <w:tc>
          <w:tcPr>
            <w:tcW w:w="1701" w:type="dxa"/>
            <w:tcBorders>
              <w:top w:val="single" w:sz="1" w:space="0" w:color="CCCCCC"/>
              <w:left w:val="single" w:sz="1" w:space="0" w:color="CCCCCC"/>
              <w:bottom w:val="single" w:sz="1" w:space="0" w:color="CCCCCC"/>
              <w:right w:val="single" w:sz="1" w:space="0" w:color="CCCCCC"/>
            </w:tcBorders>
            <w:shd w:val="clear" w:color="auto" w:fill="E8F5F4"/>
          </w:tcPr>
          <w:p w14:paraId="11000054" w14:textId="77777777" w:rsidR="00BD71B1" w:rsidRDefault="00BD71B1" w:rsidP="009D47C4">
            <w:pPr>
              <w:pStyle w:val="TableText"/>
            </w:pPr>
            <w:r>
              <w:t xml:space="preserve">Before next hearing</w:t>
            </w:r>
          </w:p>
        </w:tc>
      </w:tr>
      <w:tr w14:paraId="1100005A" w14:textId="77777777">
        <w:tblPrEx>
          <w:tblCellMar>
            <w:top w:w="0" w:type="dxa"/>
            <w:bottom w:w="0" w:type="dxa"/>
          </w:tblCellMar>
        </w:tblPrEx>
        <w:tc>
          <w:tcPr>
            <w:tcW w:w="1415" w:type="dxa"/>
            <w:tcBorders>
              <w:top w:val="single" w:sz="1" w:space="0" w:color="CCCCCC"/>
              <w:left w:val="single" w:sz="1" w:space="0" w:color="CCCCCC"/>
              <w:bottom w:val="single" w:sz="1" w:space="0" w:color="CCCCCC"/>
              <w:right w:val="single" w:sz="1" w:space="0" w:color="CCCCCC"/>
            </w:tcBorders>
            <w:shd w:val="clear" w:color="auto" w:fill="FFFFFF"/>
          </w:tcPr>
          <w:p w14:paraId="1100005B" w14:textId="77777777" w:rsidR="00BD71B1" w:rsidRDefault="00BD71B1" w:rsidP="009D47C4">
            <w:pPr>
              <w:pStyle w:val="TableText"/>
            </w:pPr>
            <w:r>
              <w:t xml:space="preserve">MEDIUM</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Pr>
          <w:p w14:paraId="1100005C" w14:textId="77777777" w:rsidR="00BD71B1" w:rsidRDefault="00BD71B1" w:rsidP="009D47C4">
            <w:pPr>
              <w:pStyle w:val="TableText"/>
            </w:pPr>
            <w:r>
              <w:t xml:space="preserve">Arrange ministerial engagement with CME WA</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Pr>
          <w:p w14:paraId="1100005D" w14:textId="77777777" w:rsidR="00BD71B1" w:rsidRDefault="00BD71B1" w:rsidP="009D47C4">
            <w:pPr>
              <w:pStyle w:val="TableText"/>
            </w:pPr>
            <w:r>
              <w:t xml:space="preserve">Ministerial office</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Pr>
          <w:p w14:paraId="1100005E" w14:textId="77777777" w:rsidR="00BD71B1" w:rsidRDefault="00BD71B1" w:rsidP="009D47C4">
            <w:pPr>
              <w:pStyle w:val="TableText"/>
            </w:pPr>
            <w:r>
              <w:t xml:space="preserve">Within 2 weeks</w:t>
            </w:r>
          </w:p>
        </w:tc>
      </w:tr>
      <w:tr w14:paraId="11000064" w14:textId="77777777">
        <w:tblPrEx>
          <w:tblCellMar>
            <w:top w:w="0" w:type="dxa"/>
            <w:bottom w:w="0" w:type="dxa"/>
          </w:tblCellMar>
        </w:tblPrEx>
        <w:tc>
          <w:tcPr>
            <w:tcW w:w="1415" w:type="dxa"/>
            <w:tcBorders>
              <w:top w:val="single" w:sz="1" w:space="0" w:color="CCCCCC"/>
              <w:left w:val="single" w:sz="1" w:space="0" w:color="CCCCCC"/>
              <w:bottom w:val="single" w:sz="1" w:space="0" w:color="CCCCCC"/>
              <w:right w:val="single" w:sz="1" w:space="0" w:color="CCCCCC"/>
            </w:tcBorders>
            <w:shd w:val="clear" w:color="auto" w:fill="E8F5F4"/>
          </w:tcPr>
          <w:p w14:paraId="11000065" w14:textId="77777777" w:rsidR="00BD71B1" w:rsidRDefault="00BD71B1" w:rsidP="009D47C4">
            <w:pPr>
              <w:pStyle w:val="TableText"/>
            </w:pPr>
            <w:r>
              <w:t xml:space="preserve">LOW</w:t>
            </w:r>
          </w:p>
        </w:tc>
        <w:tc>
          <w:tcPr>
            <w:tcW w:w="3685" w:type="dxa"/>
            <w:tcBorders>
              <w:top w:val="single" w:sz="1" w:space="0" w:color="CCCCCC"/>
              <w:left w:val="single" w:sz="1" w:space="0" w:color="CCCCCC"/>
              <w:bottom w:val="single" w:sz="1" w:space="0" w:color="CCCCCC"/>
              <w:right w:val="single" w:sz="1" w:space="0" w:color="CCCCCC"/>
            </w:tcBorders>
            <w:shd w:val="clear" w:color="auto" w:fill="E8F5F4"/>
          </w:tcPr>
          <w:p w14:paraId="11000066" w14:textId="77777777" w:rsidR="00BD71B1" w:rsidRDefault="00BD71B1" w:rsidP="009D47C4">
            <w:pPr>
              <w:pStyle w:val="TableText"/>
            </w:pPr>
            <w:r>
              <w:t xml:space="preserve">Verify the '37 definitions across 8 pages' claim re unacceptable impacts criteria; prepare clause-level rebuttal if inaccurate</w:t>
            </w:r>
          </w:p>
        </w:tc>
        <w:tc>
          <w:tcPr>
            <w:tcW w:w="2835" w:type="dxa"/>
            <w:tcBorders>
              <w:top w:val="single" w:sz="1" w:space="0" w:color="CCCCCC"/>
              <w:left w:val="single" w:sz="1" w:space="0" w:color="CCCCCC"/>
              <w:bottom w:val="single" w:sz="1" w:space="0" w:color="CCCCCC"/>
              <w:right w:val="single" w:sz="1" w:space="0" w:color="CCCCCC"/>
            </w:tcBorders>
            <w:shd w:val="clear" w:color="auto" w:fill="E8F5F4"/>
          </w:tcPr>
          <w:p w14:paraId="11000067" w14:textId="77777777" w:rsidR="00BD71B1" w:rsidRDefault="00BD71B1" w:rsidP="009D47C4">
            <w:pPr>
              <w:pStyle w:val="TableText"/>
            </w:pPr>
            <w:r>
              <w:t xml:space="preserve">Assessment policy / Legal</w:t>
            </w:r>
          </w:p>
        </w:tc>
        <w:tc>
          <w:tcPr>
            <w:tcW w:w="1701" w:type="dxa"/>
            <w:tcBorders>
              <w:top w:val="single" w:sz="1" w:space="0" w:color="CCCCCC"/>
              <w:left w:val="single" w:sz="1" w:space="0" w:color="CCCCCC"/>
              <w:bottom w:val="single" w:sz="1" w:space="0" w:color="CCCCCC"/>
              <w:right w:val="single" w:sz="1" w:space="0" w:color="CCCCCC"/>
            </w:tcBorders>
            <w:shd w:val="clear" w:color="auto" w:fill="E8F5F4"/>
          </w:tcPr>
          <w:p w14:paraId="11000068" w14:textId="77777777" w:rsidR="00BD71B1" w:rsidRDefault="00BD71B1" w:rsidP="009D47C4">
            <w:pPr>
              <w:pStyle w:val="TableText"/>
            </w:pPr>
            <w:r>
              <w:t xml:space="preserve">Before next hearing</w:t>
            </w:r>
          </w:p>
        </w:tc>
      </w:tr>
      <w:tr w14:paraId="1100006E" w14:textId="77777777">
        <w:tblPrEx>
          <w:tblCellMar>
            <w:top w:w="0" w:type="dxa"/>
            <w:bottom w:w="0" w:type="dxa"/>
          </w:tblCellMar>
        </w:tblPrEx>
        <w:tc>
          <w:tcPr>
            <w:tcW w:w="1415" w:type="dxa"/>
            <w:tcBorders>
              <w:top w:val="single" w:sz="1" w:space="0" w:color="CCCCCC"/>
              <w:left w:val="single" w:sz="1" w:space="0" w:color="CCCCCC"/>
              <w:bottom w:val="single" w:sz="1" w:space="0" w:color="CCCCCC"/>
              <w:right w:val="single" w:sz="1" w:space="0" w:color="CCCCCC"/>
            </w:tcBorders>
            <w:shd w:val="clear" w:color="auto" w:fill="FFFFFF"/>
          </w:tcPr>
          <w:p w14:paraId="1100006F" w14:textId="77777777" w:rsidR="00BD71B1" w:rsidRDefault="00BD71B1" w:rsidP="009D47C4">
            <w:pPr>
              <w:pStyle w:val="TableText"/>
            </w:pPr>
            <w:r>
              <w:t xml:space="preserve">LOW</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Pr>
          <w:p w14:paraId="11000070" w14:textId="77777777" w:rsidR="00BD71B1" w:rsidRDefault="00BD71B1" w:rsidP="009D47C4">
            <w:pPr>
              <w:pStyle w:val="TableText"/>
            </w:pPr>
            <w:r>
              <w:t xml:space="preserve">Verify 500,000 hectare GBR catchment land clearing data cited by NGOs; prepare response to continuous use exemption argument</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Pr>
          <w:p w14:paraId="11000071" w14:textId="77777777" w:rsidR="00BD71B1" w:rsidRDefault="00BD71B1" w:rsidP="009D47C4">
            <w:pPr>
              <w:pStyle w:val="TableText"/>
            </w:pPr>
            <w:r>
              <w:t xml:space="preserve">Environment policy branch</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Pr>
          <w:p w14:paraId="11000072" w14:textId="77777777" w:rsidR="00BD71B1" w:rsidRDefault="00BD71B1" w:rsidP="009D47C4">
            <w:pPr>
              <w:pStyle w:val="TableText"/>
            </w:pPr>
            <w:r>
              <w:t xml:space="preserve">Before next hearing</w:t>
            </w:r>
          </w:p>
        </w:tc>
      </w:tr>
    </w:tbl>
    <w:p w14:paraId="03CE09C9" w14:textId="3498B6C7" w:rsidR="00BD71B1" w:rsidRDefault="00BD71B1" w:rsidP="009D47C4">
      <w:pPr>
        <w:pStyle w:val="Heading3"/>
      </w:pPr>
    </w:p>
    <w:sectPr w:rsidR="00BD71B1" w:rsidSect="004C27A1">
      <w:headerReference w:type="default" r:id="rId7"/>
      <w:footerReference w:type="default" r:id="rId8"/>
      <w:headerReference w:type="first" r:id="rId9"/>
      <w:footerReference w:type="first" r:id="rId10"/>
      <w:pgSz w:w="11906" w:h="16838"/>
      <w:pgMar w:top="1134" w:right="1134" w:bottom="1200"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BCABF" w14:textId="77777777" w:rsidR="003E4B5C" w:rsidRDefault="003E4B5C" w:rsidP="002D3FA7">
      <w:r>
        <w:separator/>
      </w:r>
    </w:p>
  </w:endnote>
  <w:endnote w:type="continuationSeparator" w:id="0">
    <w:p w14:paraId="32D70AB5" w14:textId="77777777" w:rsidR="003E4B5C" w:rsidRDefault="003E4B5C" w:rsidP="002D3F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panose1 w:val="020B0502040504020204"/>
    <w:charset w:val="00"/>
    <w:family w:val="swiss"/>
    <w:pitch w:val="variable"/>
    <w:sig w:usb0="E00082FF" w:usb1="400078FF" w:usb2="00000021" w:usb3="00000000" w:csb0="0000019F" w:csb1="00000000"/>
  </w:font>
  <w:font w:name="Aptos">
    <w:charset w:val="00"/>
    <w:family w:val="swiss"/>
    <w:pitch w:val="variable"/>
    <w:sig w:usb0="20000287" w:usb1="00000003" w:usb2="00000000" w:usb3="00000000" w:csb0="0000019F" w:csb1="00000000"/>
  </w:font>
  <w:font w:name="Aptos SemiBold">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Light">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Futura PT Book">
    <w:panose1 w:val="020B0502020204020303"/>
    <w:charset w:val="00"/>
    <w:family w:val="swiss"/>
    <w:notTrueType/>
    <w:pitch w:val="variable"/>
    <w:sig w:usb0="A00002FF" w:usb1="5000204B" w:usb2="00000000" w:usb3="00000000" w:csb0="000000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1"/>
      <w:gridCol w:w="2121"/>
      <w:gridCol w:w="2120"/>
      <w:gridCol w:w="2120"/>
      <w:gridCol w:w="2120"/>
    </w:tblGrid>
    <w:tr w:rsidR="004C27A1" w14:paraId="732848CC" w14:textId="77777777" w:rsidTr="004C27A1">
      <w:trPr>
        <w:jc w:val="center"/>
      </w:trPr>
      <w:tc>
        <w:tcPr>
          <w:tcW w:w="2121" w:type="dxa"/>
        </w:tcPr>
        <w:p w14:paraId="025C647D" w14:textId="77777777" w:rsidR="004C27A1" w:rsidRPr="004C27A1" w:rsidRDefault="004C27A1" w:rsidP="002D3FA7">
          <w:pPr>
            <w:pStyle w:val="Footer"/>
          </w:pPr>
        </w:p>
      </w:tc>
      <w:tc>
        <w:tcPr>
          <w:tcW w:w="2121" w:type="dxa"/>
        </w:tcPr>
        <w:p w14:paraId="2D87B21A" w14:textId="77777777" w:rsidR="004C27A1" w:rsidRPr="004C27A1" w:rsidRDefault="004C27A1" w:rsidP="002D3FA7">
          <w:pPr>
            <w:pStyle w:val="Footer"/>
          </w:pPr>
        </w:p>
      </w:tc>
      <w:tc>
        <w:tcPr>
          <w:tcW w:w="2120" w:type="dxa"/>
        </w:tcPr>
        <w:p w14:paraId="49C86D1C" w14:textId="77777777" w:rsidR="004C27A1" w:rsidRPr="004C27A1" w:rsidRDefault="004C27A1" w:rsidP="002D3FA7">
          <w:pPr>
            <w:pStyle w:val="Footer"/>
          </w:pPr>
        </w:p>
      </w:tc>
      <w:tc>
        <w:tcPr>
          <w:tcW w:w="2120" w:type="dxa"/>
        </w:tcPr>
        <w:p w14:paraId="290E979A" w14:textId="77777777" w:rsidR="004C27A1" w:rsidRPr="004C27A1" w:rsidRDefault="004C27A1" w:rsidP="002D3FA7">
          <w:pPr>
            <w:pStyle w:val="Footer"/>
          </w:pPr>
        </w:p>
      </w:tc>
      <w:tc>
        <w:tcPr>
          <w:tcW w:w="2120" w:type="dxa"/>
        </w:tcPr>
        <w:p w14:paraId="2FDAACEA" w14:textId="77777777" w:rsidR="004C27A1" w:rsidRPr="004C27A1" w:rsidRDefault="004C27A1" w:rsidP="002D3FA7">
          <w:pPr>
            <w:pStyle w:val="Footer"/>
          </w:pPr>
        </w:p>
      </w:tc>
    </w:tr>
    <w:tr w:rsidR="004C27A1" w14:paraId="577E8D12" w14:textId="77777777" w:rsidTr="004C27A1">
      <w:trPr>
        <w:jc w:val="center"/>
      </w:trPr>
      <w:tc>
        <w:tcPr>
          <w:tcW w:w="4242" w:type="dxa"/>
          <w:gridSpan w:val="2"/>
        </w:tcPr>
        <w:p w14:paraId="5116A42C" w14:textId="383AB025" w:rsidR="004C27A1" w:rsidRPr="00FB448D" w:rsidRDefault="004C27A1" w:rsidP="002D3FA7">
          <w:pPr>
            <w:pStyle w:val="Footer"/>
          </w:pPr>
          <w:r w:rsidRPr="00FB448D">
            <w:t>Digital Enablement and Transformation</w:t>
          </w:r>
        </w:p>
      </w:tc>
      <w:tc>
        <w:tcPr>
          <w:tcW w:w="2120" w:type="dxa"/>
        </w:tcPr>
        <w:p w14:paraId="6CA50479" w14:textId="77777777" w:rsidR="004C27A1" w:rsidRPr="004C27A1" w:rsidRDefault="004C27A1" w:rsidP="002D3FA7">
          <w:pPr>
            <w:pStyle w:val="Footer"/>
          </w:pPr>
        </w:p>
      </w:tc>
      <w:tc>
        <w:tcPr>
          <w:tcW w:w="2120" w:type="dxa"/>
        </w:tcPr>
        <w:p w14:paraId="11A983A8" w14:textId="77777777" w:rsidR="004C27A1" w:rsidRPr="004C27A1" w:rsidRDefault="004C27A1" w:rsidP="002D3FA7">
          <w:pPr>
            <w:pStyle w:val="Footer"/>
          </w:pPr>
        </w:p>
      </w:tc>
      <w:tc>
        <w:tcPr>
          <w:tcW w:w="2120" w:type="dxa"/>
        </w:tcPr>
        <w:p w14:paraId="2F2C7483" w14:textId="77777777" w:rsidR="004C27A1" w:rsidRPr="004C27A1" w:rsidRDefault="004C27A1" w:rsidP="002D3FA7">
          <w:pPr>
            <w:pStyle w:val="Footer"/>
          </w:pPr>
        </w:p>
      </w:tc>
    </w:tr>
    <w:tr w:rsidR="004C27A1" w14:paraId="4A041425" w14:textId="77777777" w:rsidTr="003A33C1">
      <w:trPr>
        <w:jc w:val="center"/>
      </w:trPr>
      <w:tc>
        <w:tcPr>
          <w:tcW w:w="4242" w:type="dxa"/>
          <w:gridSpan w:val="2"/>
        </w:tcPr>
        <w:p w14:paraId="13A29908" w14:textId="4B2578B1" w:rsidR="004C27A1" w:rsidRPr="004C27A1" w:rsidRDefault="004C27A1" w:rsidP="002D3FA7">
          <w:pPr>
            <w:pStyle w:val="Footer"/>
          </w:pPr>
          <w:r>
            <w:t>Environment Informatio</w:t>
          </w:r>
          <w:r>
            <w:t>n Strategy and Policy Branch</w:t>
          </w:r>
        </w:p>
      </w:tc>
      <w:tc>
        <w:tcPr>
          <w:tcW w:w="2120" w:type="dxa"/>
        </w:tcPr>
        <w:p w14:paraId="5FD58712" w14:textId="77777777" w:rsidR="004C27A1" w:rsidRPr="004C27A1" w:rsidRDefault="004C27A1" w:rsidP="002D3FA7">
          <w:pPr>
            <w:pStyle w:val="Footer"/>
          </w:pPr>
        </w:p>
      </w:tc>
      <w:tc>
        <w:tcPr>
          <w:tcW w:w="2120" w:type="dxa"/>
        </w:tcPr>
        <w:p w14:paraId="1DAB9C1A" w14:textId="77777777" w:rsidR="004C27A1" w:rsidRPr="004C27A1" w:rsidRDefault="004C27A1" w:rsidP="002D3FA7">
          <w:pPr>
            <w:pStyle w:val="Footer"/>
          </w:pPr>
        </w:p>
      </w:tc>
      <w:tc>
        <w:tcPr>
          <w:tcW w:w="2120" w:type="dxa"/>
        </w:tcPr>
        <w:p w14:paraId="5B904DC3" w14:textId="77777777" w:rsidR="004C27A1" w:rsidRPr="004C27A1" w:rsidRDefault="004C27A1" w:rsidP="002D3FA7">
          <w:pPr>
            <w:pStyle w:val="Footer"/>
          </w:pPr>
        </w:p>
      </w:tc>
    </w:tr>
    <w:tr w:rsidR="004C27A1" w14:paraId="3D445DB1" w14:textId="77777777" w:rsidTr="004C27A1">
      <w:trPr>
        <w:jc w:val="center"/>
      </w:trPr>
      <w:tc>
        <w:tcPr>
          <w:tcW w:w="2121" w:type="dxa"/>
        </w:tcPr>
        <w:p w14:paraId="1985B546" w14:textId="77777777" w:rsidR="004C27A1" w:rsidRPr="004C27A1" w:rsidRDefault="004C27A1" w:rsidP="002D3FA7">
          <w:pPr>
            <w:pStyle w:val="Footer"/>
          </w:pPr>
        </w:p>
      </w:tc>
      <w:tc>
        <w:tcPr>
          <w:tcW w:w="2121" w:type="dxa"/>
        </w:tcPr>
        <w:p w14:paraId="3987EC23" w14:textId="77777777" w:rsidR="004C27A1" w:rsidRPr="004C27A1" w:rsidRDefault="004C27A1" w:rsidP="002D3FA7">
          <w:pPr>
            <w:pStyle w:val="Footer"/>
          </w:pPr>
        </w:p>
      </w:tc>
      <w:tc>
        <w:tcPr>
          <w:tcW w:w="2120" w:type="dxa"/>
        </w:tcPr>
        <w:p w14:paraId="2E7ACCEA" w14:textId="77777777" w:rsidR="004C27A1" w:rsidRPr="004C27A1" w:rsidRDefault="004C27A1" w:rsidP="002D3FA7">
          <w:pPr>
            <w:pStyle w:val="Footer"/>
          </w:pPr>
          <w:r>
            <w:t>DCCEEW.gov.au</w:t>
          </w:r>
        </w:p>
      </w:tc>
      <w:tc>
        <w:tcPr>
          <w:tcW w:w="2120" w:type="dxa"/>
        </w:tcPr>
        <w:p w14:paraId="3813EA73" w14:textId="77777777" w:rsidR="004C27A1" w:rsidRPr="004C27A1" w:rsidRDefault="004C27A1" w:rsidP="002D3FA7">
          <w:pPr>
            <w:pStyle w:val="Footer"/>
          </w:pPr>
        </w:p>
      </w:tc>
      <w:tc>
        <w:tcPr>
          <w:tcW w:w="2120" w:type="dxa"/>
        </w:tcPr>
        <w:p w14:paraId="6F161584" w14:textId="77777777" w:rsidR="004C27A1" w:rsidRPr="004C27A1" w:rsidRDefault="004C27A1" w:rsidP="002D3FA7">
          <w:pPr>
            <w:pStyle w:val="Footer"/>
          </w:pPr>
          <w:r>
            <w:fldChar w:fldCharType="begin"/>
          </w:r>
          <w:r>
            <w:instrText xml:space="preserve"> PAGE   \* MERGEFORMAT </w:instrText>
          </w:r>
          <w:r>
            <w:fldChar w:fldCharType="separate"/>
          </w:r>
          <w:r>
            <w:t>1</w:t>
          </w:r>
          <w:r>
            <w:rPr>
              <w:noProof/>
            </w:rPr>
            <w:fldChar w:fldCharType="end"/>
          </w:r>
        </w:p>
      </w:tc>
    </w:tr>
    <w:tr w:rsidR="004C27A1" w14:paraId="34F5404F" w14:textId="77777777" w:rsidTr="004C27A1">
      <w:trPr>
        <w:jc w:val="center"/>
      </w:trPr>
      <w:tc>
        <w:tcPr>
          <w:tcW w:w="2121" w:type="dxa"/>
        </w:tcPr>
        <w:p w14:paraId="02CB2925" w14:textId="77777777" w:rsidR="004C27A1" w:rsidRDefault="004C27A1" w:rsidP="002D3FA7"/>
      </w:tc>
      <w:tc>
        <w:tcPr>
          <w:tcW w:w="6361" w:type="dxa"/>
          <w:gridSpan w:val="3"/>
        </w:tcPr>
        <w:p w14:paraId="46F61BC0" w14:textId="77777777" w:rsidR="004C27A1" w:rsidRDefault="004C27A1" w:rsidP="004C27A1">
          <w:pPr>
            <w:pStyle w:val="PSPF"/>
            <w:rPr>
              <w:rFonts w:ascii="Futura PT Book" w:hAnsi="Futura PT Book"/>
            </w:rPr>
          </w:pPr>
          <w:r>
            <w:t>OFFICIAL Sensitive</w:t>
          </w:r>
        </w:p>
      </w:tc>
      <w:tc>
        <w:tcPr>
          <w:tcW w:w="2120" w:type="dxa"/>
        </w:tcPr>
        <w:p w14:paraId="6A936E24" w14:textId="77777777" w:rsidR="004C27A1" w:rsidRDefault="004C27A1" w:rsidP="002D3FA7"/>
      </w:tc>
    </w:tr>
  </w:tbl>
  <w:p w14:paraId="4F3B8F60" w14:textId="0B31848E" w:rsidR="00BD71B1" w:rsidRDefault="00BD71B1" w:rsidP="002D3FA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1"/>
      <w:gridCol w:w="2121"/>
      <w:gridCol w:w="2120"/>
      <w:gridCol w:w="2120"/>
      <w:gridCol w:w="2120"/>
    </w:tblGrid>
    <w:tr w:rsidR="004C27A1" w14:paraId="090A813B" w14:textId="77777777" w:rsidTr="00C654E5">
      <w:trPr>
        <w:jc w:val="center"/>
      </w:trPr>
      <w:tc>
        <w:tcPr>
          <w:tcW w:w="1992" w:type="dxa"/>
        </w:tcPr>
        <w:p w14:paraId="4ABCBFDC" w14:textId="77777777" w:rsidR="004C27A1" w:rsidRPr="006741AA" w:rsidRDefault="004C27A1" w:rsidP="002D3FA7">
          <w:pPr>
            <w:pStyle w:val="Footer"/>
          </w:pPr>
        </w:p>
      </w:tc>
      <w:tc>
        <w:tcPr>
          <w:tcW w:w="1992" w:type="dxa"/>
        </w:tcPr>
        <w:p w14:paraId="46192CE5" w14:textId="77777777" w:rsidR="004C27A1" w:rsidRPr="006741AA" w:rsidRDefault="004C27A1" w:rsidP="002D3FA7">
          <w:pPr>
            <w:pStyle w:val="Footer"/>
          </w:pPr>
        </w:p>
      </w:tc>
      <w:tc>
        <w:tcPr>
          <w:tcW w:w="1992" w:type="dxa"/>
        </w:tcPr>
        <w:p w14:paraId="4EDC1C17" w14:textId="77777777" w:rsidR="004C27A1" w:rsidRPr="006741AA" w:rsidRDefault="004C27A1" w:rsidP="002D3FA7">
          <w:pPr>
            <w:pStyle w:val="Footer"/>
          </w:pPr>
        </w:p>
      </w:tc>
      <w:tc>
        <w:tcPr>
          <w:tcW w:w="1992" w:type="dxa"/>
        </w:tcPr>
        <w:p w14:paraId="6D2E8275" w14:textId="77777777" w:rsidR="004C27A1" w:rsidRPr="006741AA" w:rsidRDefault="004C27A1" w:rsidP="002D3FA7">
          <w:pPr>
            <w:pStyle w:val="Footer"/>
          </w:pPr>
        </w:p>
      </w:tc>
      <w:tc>
        <w:tcPr>
          <w:tcW w:w="1992" w:type="dxa"/>
        </w:tcPr>
        <w:p w14:paraId="2C4FB61F" w14:textId="77777777" w:rsidR="004C27A1" w:rsidRPr="006741AA" w:rsidRDefault="004C27A1" w:rsidP="002D3FA7">
          <w:pPr>
            <w:pStyle w:val="Footer"/>
          </w:pPr>
        </w:p>
      </w:tc>
    </w:tr>
    <w:tr w:rsidR="004C27A1" w14:paraId="2D289688" w14:textId="77777777" w:rsidTr="00C654E5">
      <w:trPr>
        <w:jc w:val="center"/>
      </w:trPr>
      <w:tc>
        <w:tcPr>
          <w:tcW w:w="1992" w:type="dxa"/>
        </w:tcPr>
        <w:p w14:paraId="730C7039" w14:textId="77777777" w:rsidR="004C27A1" w:rsidRPr="006741AA" w:rsidRDefault="004C27A1" w:rsidP="002D3FA7">
          <w:pPr>
            <w:pStyle w:val="Footer"/>
          </w:pPr>
        </w:p>
      </w:tc>
      <w:tc>
        <w:tcPr>
          <w:tcW w:w="1992" w:type="dxa"/>
        </w:tcPr>
        <w:p w14:paraId="3F3A38F6" w14:textId="77777777" w:rsidR="004C27A1" w:rsidRPr="006741AA" w:rsidRDefault="004C27A1" w:rsidP="002D3FA7">
          <w:pPr>
            <w:pStyle w:val="Footer"/>
          </w:pPr>
        </w:p>
      </w:tc>
      <w:tc>
        <w:tcPr>
          <w:tcW w:w="1992" w:type="dxa"/>
        </w:tcPr>
        <w:p w14:paraId="37A811C1" w14:textId="77777777" w:rsidR="004C27A1" w:rsidRPr="006741AA" w:rsidRDefault="004C27A1" w:rsidP="002D3FA7">
          <w:pPr>
            <w:pStyle w:val="Footer"/>
          </w:pPr>
        </w:p>
      </w:tc>
      <w:tc>
        <w:tcPr>
          <w:tcW w:w="1992" w:type="dxa"/>
        </w:tcPr>
        <w:p w14:paraId="45BDF187" w14:textId="77777777" w:rsidR="004C27A1" w:rsidRPr="006741AA" w:rsidRDefault="004C27A1" w:rsidP="002D3FA7">
          <w:pPr>
            <w:pStyle w:val="Footer"/>
          </w:pPr>
        </w:p>
      </w:tc>
      <w:tc>
        <w:tcPr>
          <w:tcW w:w="1992" w:type="dxa"/>
        </w:tcPr>
        <w:p w14:paraId="22E7AEC6" w14:textId="77777777" w:rsidR="004C27A1" w:rsidRPr="006741AA" w:rsidRDefault="004C27A1" w:rsidP="002D3FA7">
          <w:pPr>
            <w:pStyle w:val="Footer"/>
          </w:pPr>
        </w:p>
      </w:tc>
    </w:tr>
    <w:tr w:rsidR="004C27A1" w14:paraId="436D61B8" w14:textId="77777777" w:rsidTr="00C654E5">
      <w:trPr>
        <w:jc w:val="center"/>
      </w:trPr>
      <w:tc>
        <w:tcPr>
          <w:tcW w:w="1992" w:type="dxa"/>
        </w:tcPr>
        <w:p w14:paraId="0923A684" w14:textId="77777777" w:rsidR="004C27A1" w:rsidRPr="006741AA" w:rsidRDefault="004C27A1" w:rsidP="002D3FA7">
          <w:pPr>
            <w:pStyle w:val="Footer"/>
          </w:pPr>
        </w:p>
      </w:tc>
      <w:tc>
        <w:tcPr>
          <w:tcW w:w="1992" w:type="dxa"/>
        </w:tcPr>
        <w:p w14:paraId="37B7D7E4" w14:textId="77777777" w:rsidR="004C27A1" w:rsidRPr="006741AA" w:rsidRDefault="004C27A1" w:rsidP="002D3FA7">
          <w:pPr>
            <w:pStyle w:val="Footer"/>
          </w:pPr>
        </w:p>
      </w:tc>
      <w:tc>
        <w:tcPr>
          <w:tcW w:w="1992" w:type="dxa"/>
        </w:tcPr>
        <w:p w14:paraId="22E219AD" w14:textId="77777777" w:rsidR="004C27A1" w:rsidRPr="006741AA" w:rsidRDefault="004C27A1" w:rsidP="002D3FA7">
          <w:pPr>
            <w:pStyle w:val="Footer"/>
          </w:pPr>
        </w:p>
      </w:tc>
      <w:tc>
        <w:tcPr>
          <w:tcW w:w="1992" w:type="dxa"/>
        </w:tcPr>
        <w:p w14:paraId="56FFBF23" w14:textId="77777777" w:rsidR="004C27A1" w:rsidRPr="006741AA" w:rsidRDefault="004C27A1" w:rsidP="002D3FA7">
          <w:pPr>
            <w:pStyle w:val="Footer"/>
          </w:pPr>
        </w:p>
      </w:tc>
      <w:tc>
        <w:tcPr>
          <w:tcW w:w="1992" w:type="dxa"/>
        </w:tcPr>
        <w:p w14:paraId="2C5491E2" w14:textId="77777777" w:rsidR="004C27A1" w:rsidRPr="006741AA" w:rsidRDefault="004C27A1" w:rsidP="002D3FA7">
          <w:pPr>
            <w:pStyle w:val="Footer"/>
          </w:pPr>
        </w:p>
      </w:tc>
    </w:tr>
    <w:tr w:rsidR="004C27A1" w14:paraId="743E6D23" w14:textId="77777777" w:rsidTr="00C654E5">
      <w:trPr>
        <w:jc w:val="center"/>
      </w:trPr>
      <w:tc>
        <w:tcPr>
          <w:tcW w:w="1992" w:type="dxa"/>
        </w:tcPr>
        <w:p w14:paraId="564AA8C8" w14:textId="77777777" w:rsidR="004C27A1" w:rsidRPr="004C27A1" w:rsidRDefault="004C27A1" w:rsidP="002D3FA7">
          <w:pPr>
            <w:pStyle w:val="Footer"/>
            <w:spacing w:after="85"/>
          </w:pPr>
        </w:p>
      </w:tc>
      <w:tc>
        <w:tcPr>
          <w:tcW w:w="1992" w:type="dxa"/>
        </w:tcPr>
        <w:p w14:paraId="0939F1CD" w14:textId="77777777" w:rsidR="004C27A1" w:rsidRPr="004C27A1" w:rsidRDefault="004C27A1" w:rsidP="002D3FA7">
          <w:pPr>
            <w:pStyle w:val="Footer"/>
            <w:spacing w:after="85"/>
          </w:pPr>
        </w:p>
      </w:tc>
      <w:tc>
        <w:tcPr>
          <w:tcW w:w="1992" w:type="dxa"/>
        </w:tcPr>
        <w:p w14:paraId="0EFE0397" w14:textId="5CB3350F" w:rsidR="004C27A1" w:rsidRPr="004C27A1" w:rsidRDefault="004C27A1" w:rsidP="002D3FA7">
          <w:pPr>
            <w:pStyle w:val="Footer"/>
            <w:spacing w:after="85"/>
            <w:jc w:val="center"/>
          </w:pPr>
          <w:r>
            <w:t>DCCEEW.gov.au</w:t>
          </w:r>
        </w:p>
      </w:tc>
      <w:tc>
        <w:tcPr>
          <w:tcW w:w="1992" w:type="dxa"/>
        </w:tcPr>
        <w:p w14:paraId="41DC8196" w14:textId="77777777" w:rsidR="004C27A1" w:rsidRPr="004C27A1" w:rsidRDefault="004C27A1" w:rsidP="002D3FA7">
          <w:pPr>
            <w:pStyle w:val="Footer"/>
            <w:spacing w:after="85"/>
          </w:pPr>
        </w:p>
      </w:tc>
      <w:tc>
        <w:tcPr>
          <w:tcW w:w="1992" w:type="dxa"/>
        </w:tcPr>
        <w:p w14:paraId="43642724" w14:textId="38D19D02" w:rsidR="004C27A1" w:rsidRPr="004C27A1" w:rsidRDefault="004C27A1" w:rsidP="002D3FA7">
          <w:pPr>
            <w:pStyle w:val="Footer"/>
            <w:spacing w:after="85"/>
            <w:jc w:val="right"/>
          </w:pPr>
          <w:r>
            <w:fldChar w:fldCharType="begin"/>
          </w:r>
          <w:r>
            <w:instrText xml:space="preserve"> PAGE   \* MERGEFORMAT </w:instrText>
          </w:r>
          <w:r>
            <w:fldChar w:fldCharType="separate"/>
          </w:r>
          <w:r>
            <w:rPr>
              <w:noProof/>
            </w:rPr>
            <w:t>1</w:t>
          </w:r>
          <w:r>
            <w:rPr>
              <w:noProof/>
            </w:rPr>
            <w:fldChar w:fldCharType="end"/>
          </w:r>
        </w:p>
      </w:tc>
    </w:tr>
    <w:tr w:rsidR="004C27A1" w14:paraId="6A10EB4F" w14:textId="77777777" w:rsidTr="00C654E5">
      <w:trPr>
        <w:jc w:val="center"/>
      </w:trPr>
      <w:tc>
        <w:tcPr>
          <w:tcW w:w="1992" w:type="dxa"/>
        </w:tcPr>
        <w:p w14:paraId="19EDC87C" w14:textId="77777777" w:rsidR="004C27A1" w:rsidRDefault="004C27A1" w:rsidP="002D3FA7"/>
      </w:tc>
      <w:tc>
        <w:tcPr>
          <w:tcW w:w="5976" w:type="dxa"/>
          <w:gridSpan w:val="3"/>
        </w:tcPr>
        <w:p w14:paraId="5230FEC2" w14:textId="3BF8FC69" w:rsidR="004C27A1" w:rsidRDefault="004C27A1" w:rsidP="006741AA">
          <w:pPr>
            <w:pStyle w:val="PSPF"/>
            <w:rPr>
              <w:rFonts w:ascii="Futura PT Book" w:hAnsi="Futura PT Book"/>
            </w:rPr>
          </w:pPr>
          <w:r>
            <w:t>OFFICIAL Sensitive</w:t>
          </w:r>
        </w:p>
      </w:tc>
      <w:tc>
        <w:tcPr>
          <w:tcW w:w="1992" w:type="dxa"/>
        </w:tcPr>
        <w:p w14:paraId="3CAA3DC8" w14:textId="77777777" w:rsidR="004C27A1" w:rsidRDefault="004C27A1" w:rsidP="002D3FA7"/>
      </w:tc>
    </w:tr>
  </w:tbl>
  <w:p w14:paraId="6E0EA7D9" w14:textId="77777777" w:rsidR="004C27A1" w:rsidRPr="004C27A1" w:rsidRDefault="004C27A1" w:rsidP="002D3F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9B3AE" w14:textId="77777777" w:rsidR="003E4B5C" w:rsidRDefault="003E4B5C" w:rsidP="002D3FA7">
      <w:r>
        <w:separator/>
      </w:r>
    </w:p>
  </w:footnote>
  <w:footnote w:type="continuationSeparator" w:id="0">
    <w:p w14:paraId="3CD6E7EF" w14:textId="77777777" w:rsidR="003E4B5C" w:rsidRDefault="003E4B5C" w:rsidP="002D3F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1"/>
      <w:gridCol w:w="2121"/>
      <w:gridCol w:w="2120"/>
      <w:gridCol w:w="2120"/>
      <w:gridCol w:w="2120"/>
    </w:tblGrid>
    <w:tr w:rsidR="004C27A1" w:rsidRPr="004C27A1" w14:paraId="445282EF" w14:textId="77777777" w:rsidTr="004C27A1">
      <w:trPr>
        <w:jc w:val="center"/>
      </w:trPr>
      <w:tc>
        <w:tcPr>
          <w:tcW w:w="2121" w:type="dxa"/>
        </w:tcPr>
        <w:p w14:paraId="0D9E07D3" w14:textId="77777777" w:rsidR="004C27A1" w:rsidRPr="004C27A1" w:rsidRDefault="004C27A1" w:rsidP="002D3FA7">
          <w:pPr>
            <w:pStyle w:val="Header"/>
          </w:pPr>
        </w:p>
      </w:tc>
      <w:tc>
        <w:tcPr>
          <w:tcW w:w="6361" w:type="dxa"/>
          <w:gridSpan w:val="3"/>
        </w:tcPr>
        <w:p w14:paraId="029EE7FF" w14:textId="77777777" w:rsidR="004C27A1" w:rsidRPr="004C27A1" w:rsidRDefault="004C27A1" w:rsidP="004C27A1">
          <w:pPr>
            <w:pStyle w:val="PSPF"/>
          </w:pPr>
          <w:r>
            <w:t>OFFICIAL Sensitive</w:t>
          </w:r>
        </w:p>
      </w:tc>
      <w:tc>
        <w:tcPr>
          <w:tcW w:w="2120" w:type="dxa"/>
        </w:tcPr>
        <w:p w14:paraId="2536D9E9" w14:textId="77777777" w:rsidR="004C27A1" w:rsidRPr="004C27A1" w:rsidRDefault="004C27A1" w:rsidP="002D3FA7">
          <w:pPr>
            <w:pStyle w:val="Header"/>
          </w:pPr>
        </w:p>
      </w:tc>
    </w:tr>
    <w:tr w:rsidR="004C27A1" w:rsidRPr="004C27A1" w14:paraId="1D411325" w14:textId="77777777" w:rsidTr="004C27A1">
      <w:trPr>
        <w:jc w:val="center"/>
      </w:trPr>
      <w:tc>
        <w:tcPr>
          <w:tcW w:w="2121" w:type="dxa"/>
        </w:tcPr>
        <w:p w14:paraId="2C75D9A6" w14:textId="77777777" w:rsidR="004C27A1" w:rsidRPr="004C27A1" w:rsidRDefault="004C27A1" w:rsidP="002D3FA7">
          <w:pPr>
            <w:pStyle w:val="Header"/>
          </w:pPr>
        </w:p>
      </w:tc>
      <w:tc>
        <w:tcPr>
          <w:tcW w:w="2121" w:type="dxa"/>
        </w:tcPr>
        <w:p w14:paraId="402B9271" w14:textId="77777777" w:rsidR="004C27A1" w:rsidRPr="004C27A1" w:rsidRDefault="004C27A1" w:rsidP="002D3FA7">
          <w:pPr>
            <w:pStyle w:val="Header"/>
          </w:pPr>
        </w:p>
      </w:tc>
      <w:tc>
        <w:tcPr>
          <w:tcW w:w="2120" w:type="dxa"/>
        </w:tcPr>
        <w:p w14:paraId="629DCA6C" w14:textId="77777777" w:rsidR="004C27A1" w:rsidRPr="004C27A1" w:rsidRDefault="004C27A1" w:rsidP="002D3FA7">
          <w:pPr>
            <w:pStyle w:val="Header"/>
          </w:pPr>
        </w:p>
      </w:tc>
      <w:tc>
        <w:tcPr>
          <w:tcW w:w="2120" w:type="dxa"/>
        </w:tcPr>
        <w:p w14:paraId="5A6B751D" w14:textId="77777777" w:rsidR="004C27A1" w:rsidRPr="004C27A1" w:rsidRDefault="004C27A1" w:rsidP="002D3FA7">
          <w:pPr>
            <w:pStyle w:val="Header"/>
          </w:pPr>
        </w:p>
      </w:tc>
      <w:tc>
        <w:tcPr>
          <w:tcW w:w="2120" w:type="dxa"/>
        </w:tcPr>
        <w:p w14:paraId="6778B83E" w14:textId="77777777" w:rsidR="004C27A1" w:rsidRPr="004C27A1" w:rsidRDefault="004C27A1" w:rsidP="002D3FA7">
          <w:pPr>
            <w:pStyle w:val="Header"/>
          </w:pPr>
        </w:p>
      </w:tc>
    </w:tr>
    <w:tr w:rsidR="004C27A1" w:rsidRPr="004C27A1" w14:paraId="352F4C3B" w14:textId="77777777" w:rsidTr="004C27A1">
      <w:trPr>
        <w:jc w:val="center"/>
      </w:trPr>
      <w:tc>
        <w:tcPr>
          <w:tcW w:w="6362" w:type="dxa"/>
          <w:gridSpan w:val="3"/>
        </w:tcPr>
        <w:p w14:paraId="74E10F0E" w14:textId="436E0320" w:rsidR="004C27A1" w:rsidRPr="004C27A1" w:rsidRDefault="004C27A1" w:rsidP="002D3FA7">
          <w:pPr>
            <w:pStyle w:val="Header"/>
          </w:pPr>
          <w:r>
            <w:t>I</w:t>
          </w:r>
          <w:r>
            <w:t>ntelligence briefing</w:t>
          </w:r>
          <w:r>
            <w:t xml:space="preserve"> – </w:t>
          </w:r>
          <w:r>
            <w:t>Senate committee hearing</w:t>
          </w:r>
          <w:r>
            <w:t xml:space="preserve"> </w:t>
          </w:r>
        </w:p>
      </w:tc>
      <w:tc>
        <w:tcPr>
          <w:tcW w:w="2120" w:type="dxa"/>
        </w:tcPr>
        <w:p w14:paraId="790B81CC" w14:textId="77777777" w:rsidR="004C27A1" w:rsidRPr="004C27A1" w:rsidRDefault="004C27A1" w:rsidP="002D3FA7">
          <w:pPr>
            <w:pStyle w:val="Header"/>
          </w:pPr>
        </w:p>
      </w:tc>
      <w:tc>
        <w:tcPr>
          <w:tcW w:w="2120" w:type="dxa"/>
        </w:tcPr>
        <w:p w14:paraId="497F56BC" w14:textId="77777777" w:rsidR="004C27A1" w:rsidRPr="004C27A1" w:rsidRDefault="004C27A1" w:rsidP="002D3FA7">
          <w:pPr>
            <w:pStyle w:val="Header"/>
          </w:pPr>
        </w:p>
      </w:tc>
    </w:tr>
    <w:tr w:rsidR="004C27A1" w:rsidRPr="004C27A1" w14:paraId="7F09808B" w14:textId="77777777" w:rsidTr="00B36BD6">
      <w:trPr>
        <w:jc w:val="center"/>
      </w:trPr>
      <w:tc>
        <w:tcPr>
          <w:tcW w:w="6362" w:type="dxa"/>
          <w:gridSpan w:val="3"/>
        </w:tcPr>
        <w:p w14:paraId="7E5FBE41" w14:textId="17FA660D" w:rsidR="004C27A1" w:rsidRPr="00FB448D" w:rsidRDefault="004C27A1" w:rsidP="002D3FA7">
          <w:pPr>
            <w:pStyle w:val="Header"/>
          </w:pPr>
          <w:r w:rsidRPr="00FB448D">
            <w:t>[Insert inquiry name]</w:t>
          </w:r>
        </w:p>
      </w:tc>
      <w:tc>
        <w:tcPr>
          <w:tcW w:w="2120" w:type="dxa"/>
        </w:tcPr>
        <w:p w14:paraId="3A12BFFF" w14:textId="77777777" w:rsidR="004C27A1" w:rsidRPr="004C27A1" w:rsidRDefault="004C27A1" w:rsidP="002D3FA7">
          <w:pPr>
            <w:pStyle w:val="Header"/>
          </w:pPr>
        </w:p>
      </w:tc>
      <w:tc>
        <w:tcPr>
          <w:tcW w:w="2120" w:type="dxa"/>
        </w:tcPr>
        <w:p w14:paraId="7C5C6131" w14:textId="3FA6AF46" w:rsidR="004C27A1" w:rsidRPr="004C27A1" w:rsidRDefault="004C27A1" w:rsidP="002D3FA7">
          <w:pPr>
            <w:pStyle w:val="Header"/>
            <w:jc w:val="right"/>
          </w:pPr>
          <w:r w:rsidRPr="004C27A1">
            <w:t xml:space="preserve">[Insert </w:t>
          </w:r>
          <w:r>
            <w:t>hearing date</w:t>
          </w:r>
          <w:r w:rsidRPr="004C27A1">
            <w:t>]</w:t>
          </w:r>
        </w:p>
      </w:tc>
    </w:tr>
    <w:tr w:rsidR="004C27A1" w:rsidRPr="004C27A1" w14:paraId="68A4EF5C" w14:textId="77777777" w:rsidTr="004C27A1">
      <w:trPr>
        <w:jc w:val="center"/>
      </w:trPr>
      <w:tc>
        <w:tcPr>
          <w:tcW w:w="2121" w:type="dxa"/>
        </w:tcPr>
        <w:p w14:paraId="2A955C7E" w14:textId="77777777" w:rsidR="004C27A1" w:rsidRPr="004C27A1" w:rsidRDefault="004C27A1" w:rsidP="002D3FA7">
          <w:pPr>
            <w:pStyle w:val="Header"/>
          </w:pPr>
        </w:p>
      </w:tc>
      <w:tc>
        <w:tcPr>
          <w:tcW w:w="2121" w:type="dxa"/>
        </w:tcPr>
        <w:p w14:paraId="3F0A1B53" w14:textId="77777777" w:rsidR="004C27A1" w:rsidRPr="004C27A1" w:rsidRDefault="004C27A1" w:rsidP="002D3FA7">
          <w:pPr>
            <w:pStyle w:val="Header"/>
          </w:pPr>
        </w:p>
      </w:tc>
      <w:tc>
        <w:tcPr>
          <w:tcW w:w="2120" w:type="dxa"/>
        </w:tcPr>
        <w:p w14:paraId="01C718EC" w14:textId="77777777" w:rsidR="004C27A1" w:rsidRPr="004C27A1" w:rsidRDefault="004C27A1" w:rsidP="002D3FA7">
          <w:pPr>
            <w:pStyle w:val="Header"/>
          </w:pPr>
        </w:p>
      </w:tc>
      <w:tc>
        <w:tcPr>
          <w:tcW w:w="2120" w:type="dxa"/>
        </w:tcPr>
        <w:p w14:paraId="4E13BA13" w14:textId="77777777" w:rsidR="004C27A1" w:rsidRPr="004C27A1" w:rsidRDefault="004C27A1" w:rsidP="002D3FA7">
          <w:pPr>
            <w:pStyle w:val="Header"/>
          </w:pPr>
        </w:p>
      </w:tc>
      <w:tc>
        <w:tcPr>
          <w:tcW w:w="2120" w:type="dxa"/>
        </w:tcPr>
        <w:p w14:paraId="65D6486A" w14:textId="77777777" w:rsidR="004C27A1" w:rsidRPr="004C27A1" w:rsidRDefault="004C27A1" w:rsidP="002D3FA7">
          <w:pPr>
            <w:pStyle w:val="Header"/>
          </w:pPr>
        </w:p>
      </w:tc>
    </w:tr>
  </w:tbl>
  <w:p w14:paraId="5935D8C9" w14:textId="27DABD54" w:rsidR="00BD71B1" w:rsidRPr="004C27A1" w:rsidRDefault="00BD71B1" w:rsidP="002D3F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1"/>
      <w:gridCol w:w="2121"/>
      <w:gridCol w:w="2120"/>
      <w:gridCol w:w="2120"/>
      <w:gridCol w:w="2120"/>
    </w:tblGrid>
    <w:tr w:rsidR="004C27A1" w:rsidRPr="004C27A1" w14:paraId="445E6584" w14:textId="77777777" w:rsidTr="00C654E5">
      <w:trPr>
        <w:jc w:val="center"/>
      </w:trPr>
      <w:tc>
        <w:tcPr>
          <w:tcW w:w="1992" w:type="dxa"/>
        </w:tcPr>
        <w:p w14:paraId="6247234D" w14:textId="77777777" w:rsidR="004C27A1" w:rsidRPr="006741AA" w:rsidRDefault="004C27A1" w:rsidP="002D3FA7">
          <w:pPr>
            <w:pStyle w:val="Header"/>
          </w:pPr>
        </w:p>
      </w:tc>
      <w:tc>
        <w:tcPr>
          <w:tcW w:w="5976" w:type="dxa"/>
          <w:gridSpan w:val="3"/>
        </w:tcPr>
        <w:p w14:paraId="5E221F61" w14:textId="15583C32" w:rsidR="004C27A1" w:rsidRPr="006741AA" w:rsidRDefault="004C27A1" w:rsidP="006741AA">
          <w:pPr>
            <w:pStyle w:val="PSPF"/>
          </w:pPr>
          <w:r w:rsidRPr="006741AA">
            <w:t>OFFICIAL Sensitive</w:t>
          </w:r>
        </w:p>
      </w:tc>
      <w:tc>
        <w:tcPr>
          <w:tcW w:w="1992" w:type="dxa"/>
        </w:tcPr>
        <w:p w14:paraId="5E1AC758" w14:textId="77777777" w:rsidR="004C27A1" w:rsidRPr="006741AA" w:rsidRDefault="004C27A1" w:rsidP="002D3FA7">
          <w:pPr>
            <w:pStyle w:val="Header"/>
          </w:pPr>
        </w:p>
      </w:tc>
    </w:tr>
    <w:tr w:rsidR="004C27A1" w:rsidRPr="004C27A1" w14:paraId="388FE2E8" w14:textId="77777777" w:rsidTr="00C654E5">
      <w:trPr>
        <w:jc w:val="center"/>
      </w:trPr>
      <w:tc>
        <w:tcPr>
          <w:tcW w:w="1992" w:type="dxa"/>
        </w:tcPr>
        <w:p w14:paraId="74695E07" w14:textId="77777777" w:rsidR="004C27A1" w:rsidRPr="006741AA" w:rsidRDefault="004C27A1" w:rsidP="002D3FA7">
          <w:pPr>
            <w:pStyle w:val="Header"/>
          </w:pPr>
        </w:p>
      </w:tc>
      <w:tc>
        <w:tcPr>
          <w:tcW w:w="1992" w:type="dxa"/>
        </w:tcPr>
        <w:p w14:paraId="09493406" w14:textId="77777777" w:rsidR="004C27A1" w:rsidRPr="006741AA" w:rsidRDefault="004C27A1" w:rsidP="002D3FA7">
          <w:pPr>
            <w:pStyle w:val="Header"/>
          </w:pPr>
        </w:p>
      </w:tc>
      <w:tc>
        <w:tcPr>
          <w:tcW w:w="1992" w:type="dxa"/>
        </w:tcPr>
        <w:p w14:paraId="585D78DC" w14:textId="77777777" w:rsidR="004C27A1" w:rsidRPr="006741AA" w:rsidRDefault="004C27A1" w:rsidP="002D3FA7">
          <w:pPr>
            <w:pStyle w:val="Header"/>
          </w:pPr>
        </w:p>
      </w:tc>
      <w:tc>
        <w:tcPr>
          <w:tcW w:w="1992" w:type="dxa"/>
        </w:tcPr>
        <w:p w14:paraId="14F26FFC" w14:textId="77777777" w:rsidR="004C27A1" w:rsidRPr="006741AA" w:rsidRDefault="004C27A1" w:rsidP="002D3FA7">
          <w:pPr>
            <w:pStyle w:val="Header"/>
          </w:pPr>
        </w:p>
      </w:tc>
      <w:tc>
        <w:tcPr>
          <w:tcW w:w="1992" w:type="dxa"/>
        </w:tcPr>
        <w:p w14:paraId="33BEC4C7" w14:textId="77777777" w:rsidR="004C27A1" w:rsidRPr="006741AA" w:rsidRDefault="004C27A1" w:rsidP="002D3FA7">
          <w:pPr>
            <w:pStyle w:val="Header"/>
          </w:pPr>
        </w:p>
      </w:tc>
    </w:tr>
    <w:tr w:rsidR="004C27A1" w:rsidRPr="004C27A1" w14:paraId="2A164DDE" w14:textId="77777777" w:rsidTr="00C654E5">
      <w:trPr>
        <w:jc w:val="center"/>
      </w:trPr>
      <w:tc>
        <w:tcPr>
          <w:tcW w:w="1992" w:type="dxa"/>
        </w:tcPr>
        <w:p w14:paraId="0300A53E" w14:textId="77777777" w:rsidR="004C27A1" w:rsidRPr="006741AA" w:rsidRDefault="004C27A1" w:rsidP="002D3FA7">
          <w:pPr>
            <w:pStyle w:val="Header"/>
          </w:pPr>
        </w:p>
      </w:tc>
      <w:tc>
        <w:tcPr>
          <w:tcW w:w="1992" w:type="dxa"/>
        </w:tcPr>
        <w:p w14:paraId="4ACFEF86" w14:textId="77777777" w:rsidR="004C27A1" w:rsidRPr="006741AA" w:rsidRDefault="004C27A1" w:rsidP="002D3FA7">
          <w:pPr>
            <w:pStyle w:val="Header"/>
          </w:pPr>
        </w:p>
      </w:tc>
      <w:tc>
        <w:tcPr>
          <w:tcW w:w="1992" w:type="dxa"/>
        </w:tcPr>
        <w:p w14:paraId="2624C3C5" w14:textId="77777777" w:rsidR="004C27A1" w:rsidRPr="006741AA" w:rsidRDefault="004C27A1" w:rsidP="002D3FA7">
          <w:pPr>
            <w:pStyle w:val="Header"/>
          </w:pPr>
        </w:p>
      </w:tc>
      <w:tc>
        <w:tcPr>
          <w:tcW w:w="1992" w:type="dxa"/>
        </w:tcPr>
        <w:p w14:paraId="6B77301C" w14:textId="77777777" w:rsidR="004C27A1" w:rsidRPr="006741AA" w:rsidRDefault="004C27A1" w:rsidP="002D3FA7">
          <w:pPr>
            <w:pStyle w:val="Header"/>
          </w:pPr>
        </w:p>
      </w:tc>
      <w:tc>
        <w:tcPr>
          <w:tcW w:w="1992" w:type="dxa"/>
        </w:tcPr>
        <w:p w14:paraId="567D9051" w14:textId="77777777" w:rsidR="004C27A1" w:rsidRPr="006741AA" w:rsidRDefault="004C27A1" w:rsidP="002D3FA7">
          <w:pPr>
            <w:pStyle w:val="Header"/>
          </w:pPr>
        </w:p>
      </w:tc>
    </w:tr>
    <w:tr w:rsidR="004C27A1" w:rsidRPr="004C27A1" w14:paraId="13C1D520" w14:textId="77777777" w:rsidTr="00C654E5">
      <w:trPr>
        <w:jc w:val="center"/>
      </w:trPr>
      <w:tc>
        <w:tcPr>
          <w:tcW w:w="1992" w:type="dxa"/>
        </w:tcPr>
        <w:p w14:paraId="34B5FA57" w14:textId="77777777" w:rsidR="004C27A1" w:rsidRPr="006741AA" w:rsidRDefault="004C27A1" w:rsidP="002D3FA7">
          <w:pPr>
            <w:pStyle w:val="Header"/>
          </w:pPr>
        </w:p>
      </w:tc>
      <w:tc>
        <w:tcPr>
          <w:tcW w:w="1992" w:type="dxa"/>
        </w:tcPr>
        <w:p w14:paraId="4451BA64" w14:textId="77777777" w:rsidR="004C27A1" w:rsidRPr="006741AA" w:rsidRDefault="004C27A1" w:rsidP="002D3FA7">
          <w:pPr>
            <w:pStyle w:val="Header"/>
          </w:pPr>
        </w:p>
      </w:tc>
      <w:tc>
        <w:tcPr>
          <w:tcW w:w="1992" w:type="dxa"/>
        </w:tcPr>
        <w:p w14:paraId="0E685F8E" w14:textId="77777777" w:rsidR="004C27A1" w:rsidRPr="006741AA" w:rsidRDefault="004C27A1" w:rsidP="002D3FA7">
          <w:pPr>
            <w:pStyle w:val="Header"/>
          </w:pPr>
        </w:p>
      </w:tc>
      <w:tc>
        <w:tcPr>
          <w:tcW w:w="1992" w:type="dxa"/>
        </w:tcPr>
        <w:p w14:paraId="55267A2A" w14:textId="77777777" w:rsidR="004C27A1" w:rsidRPr="006741AA" w:rsidRDefault="004C27A1" w:rsidP="002D3FA7">
          <w:pPr>
            <w:pStyle w:val="Header"/>
          </w:pPr>
        </w:p>
      </w:tc>
      <w:tc>
        <w:tcPr>
          <w:tcW w:w="1992" w:type="dxa"/>
        </w:tcPr>
        <w:p w14:paraId="40298436" w14:textId="77777777" w:rsidR="004C27A1" w:rsidRPr="006741AA" w:rsidRDefault="004C27A1" w:rsidP="002D3FA7">
          <w:pPr>
            <w:pStyle w:val="Header"/>
          </w:pPr>
        </w:p>
      </w:tc>
    </w:tr>
    <w:tr w:rsidR="004C27A1" w:rsidRPr="004C27A1" w14:paraId="464EEA80" w14:textId="77777777" w:rsidTr="00C654E5">
      <w:trPr>
        <w:jc w:val="center"/>
      </w:trPr>
      <w:tc>
        <w:tcPr>
          <w:tcW w:w="1992" w:type="dxa"/>
        </w:tcPr>
        <w:p w14:paraId="0E19E75F" w14:textId="77777777" w:rsidR="004C27A1" w:rsidRPr="006741AA" w:rsidRDefault="004C27A1" w:rsidP="002D3FA7">
          <w:pPr>
            <w:pStyle w:val="Header"/>
          </w:pPr>
        </w:p>
      </w:tc>
      <w:tc>
        <w:tcPr>
          <w:tcW w:w="1992" w:type="dxa"/>
        </w:tcPr>
        <w:p w14:paraId="12CDEA93" w14:textId="77777777" w:rsidR="004C27A1" w:rsidRPr="006741AA" w:rsidRDefault="004C27A1" w:rsidP="002D3FA7">
          <w:pPr>
            <w:pStyle w:val="Header"/>
          </w:pPr>
        </w:p>
      </w:tc>
      <w:tc>
        <w:tcPr>
          <w:tcW w:w="1992" w:type="dxa"/>
        </w:tcPr>
        <w:p w14:paraId="00ACD2B0" w14:textId="77777777" w:rsidR="004C27A1" w:rsidRPr="006741AA" w:rsidRDefault="004C27A1" w:rsidP="002D3FA7">
          <w:pPr>
            <w:pStyle w:val="Header"/>
          </w:pPr>
        </w:p>
      </w:tc>
      <w:tc>
        <w:tcPr>
          <w:tcW w:w="1992" w:type="dxa"/>
        </w:tcPr>
        <w:p w14:paraId="011B4FC8" w14:textId="77777777" w:rsidR="004C27A1" w:rsidRPr="006741AA" w:rsidRDefault="004C27A1" w:rsidP="002D3FA7">
          <w:pPr>
            <w:pStyle w:val="Header"/>
          </w:pPr>
        </w:p>
      </w:tc>
      <w:tc>
        <w:tcPr>
          <w:tcW w:w="1992" w:type="dxa"/>
        </w:tcPr>
        <w:p w14:paraId="0FD054B9" w14:textId="77777777" w:rsidR="004C27A1" w:rsidRPr="006741AA" w:rsidRDefault="004C27A1" w:rsidP="002D3FA7">
          <w:pPr>
            <w:pStyle w:val="Header"/>
          </w:pPr>
        </w:p>
      </w:tc>
    </w:tr>
  </w:tbl>
  <w:p w14:paraId="4C64B4B0" w14:textId="77777777" w:rsidR="004C27A1" w:rsidRPr="004C27A1" w:rsidRDefault="004C27A1" w:rsidP="002D3F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421E1"/>
    <w:multiLevelType w:val="hybridMultilevel"/>
    <w:tmpl w:val="FF40E032"/>
    <w:lvl w:ilvl="0" w:tplc="789EE578">
      <w:start w:val="1"/>
      <w:numFmt w:val="bullet"/>
      <w:lvlText w:val="•"/>
      <w:lvlJc w:val="left"/>
      <w:pPr>
        <w:ind w:left="720" w:hanging="360"/>
      </w:pPr>
    </w:lvl>
    <w:lvl w:ilvl="1" w:tplc="C7EAD9DC">
      <w:numFmt w:val="decimal"/>
      <w:lvlText w:val=""/>
      <w:lvlJc w:val="left"/>
    </w:lvl>
    <w:lvl w:ilvl="2" w:tplc="7FFEA3B8">
      <w:numFmt w:val="decimal"/>
      <w:lvlText w:val=""/>
      <w:lvlJc w:val="left"/>
    </w:lvl>
    <w:lvl w:ilvl="3" w:tplc="6BB8CAE0">
      <w:numFmt w:val="decimal"/>
      <w:lvlText w:val=""/>
      <w:lvlJc w:val="left"/>
    </w:lvl>
    <w:lvl w:ilvl="4" w:tplc="90C8D434">
      <w:numFmt w:val="decimal"/>
      <w:lvlText w:val=""/>
      <w:lvlJc w:val="left"/>
    </w:lvl>
    <w:lvl w:ilvl="5" w:tplc="6352B2BC">
      <w:numFmt w:val="decimal"/>
      <w:lvlText w:val=""/>
      <w:lvlJc w:val="left"/>
    </w:lvl>
    <w:lvl w:ilvl="6" w:tplc="43F44340">
      <w:numFmt w:val="decimal"/>
      <w:lvlText w:val=""/>
      <w:lvlJc w:val="left"/>
    </w:lvl>
    <w:lvl w:ilvl="7" w:tplc="7812DEB0">
      <w:numFmt w:val="decimal"/>
      <w:lvlText w:val=""/>
      <w:lvlJc w:val="left"/>
    </w:lvl>
    <w:lvl w:ilvl="8" w:tplc="A4168872">
      <w:numFmt w:val="decimal"/>
      <w:lvlText w:val=""/>
      <w:lvlJc w:val="left"/>
    </w:lvl>
  </w:abstractNum>
  <w:abstractNum w:abstractNumId="1" w15:restartNumberingAfterBreak="0">
    <w:nsid w:val="3C444076"/>
    <w:multiLevelType w:val="hybridMultilevel"/>
    <w:tmpl w:val="4F5A9D26"/>
    <w:lvl w:ilvl="0" w:tplc="4FACF6DC">
      <w:start w:val="1"/>
      <w:numFmt w:val="bullet"/>
      <w:lvlText w:val="●"/>
      <w:lvlJc w:val="left"/>
      <w:pPr>
        <w:ind w:left="720" w:hanging="360"/>
      </w:pPr>
    </w:lvl>
    <w:lvl w:ilvl="1" w:tplc="2090AEC6">
      <w:start w:val="1"/>
      <w:numFmt w:val="bullet"/>
      <w:lvlText w:val="○"/>
      <w:lvlJc w:val="left"/>
      <w:pPr>
        <w:ind w:left="1440" w:hanging="360"/>
      </w:pPr>
    </w:lvl>
    <w:lvl w:ilvl="2" w:tplc="4FC21A48">
      <w:start w:val="1"/>
      <w:numFmt w:val="bullet"/>
      <w:lvlText w:val="■"/>
      <w:lvlJc w:val="left"/>
      <w:pPr>
        <w:ind w:left="2160" w:hanging="360"/>
      </w:pPr>
    </w:lvl>
    <w:lvl w:ilvl="3" w:tplc="9A589566">
      <w:start w:val="1"/>
      <w:numFmt w:val="bullet"/>
      <w:lvlText w:val="●"/>
      <w:lvlJc w:val="left"/>
      <w:pPr>
        <w:ind w:left="2880" w:hanging="360"/>
      </w:pPr>
    </w:lvl>
    <w:lvl w:ilvl="4" w:tplc="EEE0C5EE">
      <w:start w:val="1"/>
      <w:numFmt w:val="bullet"/>
      <w:lvlText w:val="○"/>
      <w:lvlJc w:val="left"/>
      <w:pPr>
        <w:ind w:left="3600" w:hanging="360"/>
      </w:pPr>
    </w:lvl>
    <w:lvl w:ilvl="5" w:tplc="C14C1D24">
      <w:start w:val="1"/>
      <w:numFmt w:val="bullet"/>
      <w:lvlText w:val="■"/>
      <w:lvlJc w:val="left"/>
      <w:pPr>
        <w:ind w:left="4320" w:hanging="360"/>
      </w:pPr>
    </w:lvl>
    <w:lvl w:ilvl="6" w:tplc="74C2C4D6">
      <w:start w:val="1"/>
      <w:numFmt w:val="bullet"/>
      <w:lvlText w:val="●"/>
      <w:lvlJc w:val="left"/>
      <w:pPr>
        <w:ind w:left="5040" w:hanging="360"/>
      </w:pPr>
    </w:lvl>
    <w:lvl w:ilvl="7" w:tplc="FF260E78">
      <w:start w:val="1"/>
      <w:numFmt w:val="bullet"/>
      <w:lvlText w:val="●"/>
      <w:lvlJc w:val="left"/>
      <w:pPr>
        <w:ind w:left="5760" w:hanging="360"/>
      </w:pPr>
    </w:lvl>
    <w:lvl w:ilvl="8" w:tplc="75B8A556">
      <w:start w:val="1"/>
      <w:numFmt w:val="bullet"/>
      <w:lvlText w:val="●"/>
      <w:lvlJc w:val="left"/>
      <w:pPr>
        <w:ind w:left="6480" w:hanging="360"/>
      </w:pPr>
    </w:lvl>
  </w:abstractNum>
  <w:num w:numId="1" w16cid:durableId="15709190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1B1"/>
    <w:rsid w:val="002D3FA7"/>
    <w:rsid w:val="00346EEE"/>
    <w:rsid w:val="003E4B5C"/>
    <w:rsid w:val="004C27A1"/>
    <w:rsid w:val="00645878"/>
    <w:rsid w:val="006741AA"/>
    <w:rsid w:val="009D47C4"/>
    <w:rsid w:val="00BD71B1"/>
    <w:rsid w:val="00C75E14"/>
    <w:rsid w:val="00FB448D"/>
    <w:rsid w:val="00FC035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2FA2B8"/>
  <w15:docId w15:val="{D75E4D6E-0E2B-472D-9254-07DA56DBE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to Sans" w:eastAsia="Noto Sans" w:hAnsi="Noto Sans" w:cs="Noto Sans"/>
        <w:color w:val="2220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FA7"/>
    <w:pPr>
      <w:spacing w:after="110" w:line="271" w:lineRule="auto"/>
    </w:pPr>
    <w:rPr>
      <w:rFonts w:asciiTheme="minorHAnsi" w:hAnsiTheme="minorHAnsi"/>
      <w:sz w:val="21"/>
      <w:szCs w:val="21"/>
    </w:rPr>
  </w:style>
  <w:style w:type="paragraph" w:styleId="Heading1">
    <w:name w:val="heading 1"/>
    <w:uiPriority w:val="9"/>
    <w:qFormat/>
    <w:rsid w:val="002D3FA7"/>
    <w:pPr>
      <w:pBdr>
        <w:bottom w:val="single" w:sz="8" w:space="4" w:color="28A399"/>
      </w:pBdr>
      <w:spacing w:before="480" w:after="160"/>
      <w:outlineLvl w:val="0"/>
    </w:pPr>
    <w:rPr>
      <w:rFonts w:asciiTheme="minorHAnsi" w:hAnsiTheme="minorHAnsi"/>
      <w:color w:val="083A42"/>
      <w:sz w:val="33"/>
      <w:szCs w:val="33"/>
    </w:rPr>
  </w:style>
  <w:style w:type="paragraph" w:styleId="Heading2">
    <w:name w:val="heading 2"/>
    <w:uiPriority w:val="9"/>
    <w:unhideWhenUsed/>
    <w:qFormat/>
    <w:rsid w:val="002D3FA7"/>
    <w:pPr>
      <w:spacing w:before="320" w:after="100"/>
      <w:outlineLvl w:val="1"/>
    </w:pPr>
    <w:rPr>
      <w:rFonts w:asciiTheme="minorHAnsi" w:hAnsiTheme="minorHAnsi"/>
      <w:b/>
      <w:bCs/>
      <w:sz w:val="26"/>
      <w:szCs w:val="26"/>
    </w:rPr>
  </w:style>
  <w:style w:type="paragraph" w:styleId="Heading3">
    <w:name w:val="heading 3"/>
    <w:uiPriority w:val="9"/>
    <w:unhideWhenUsed/>
    <w:qFormat/>
    <w:rsid w:val="009D47C4"/>
    <w:pPr>
      <w:spacing w:before="210" w:after="90"/>
      <w:outlineLvl w:val="2"/>
    </w:pPr>
    <w:rPr>
      <w:rFonts w:ascii="Aptos SemiBold" w:hAnsi="Aptos SemiBold"/>
      <w:color w:val="28A39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6741AA"/>
    <w:pPr>
      <w:spacing w:after="210" w:line="240" w:lineRule="auto"/>
    </w:pPr>
    <w:rPr>
      <w:rFonts w:ascii="Aptos Light" w:hAnsi="Aptos Light"/>
      <w:color w:val="083A42"/>
      <w:sz w:val="41"/>
      <w:szCs w:val="41"/>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link w:val="HeaderChar"/>
    <w:uiPriority w:val="99"/>
    <w:unhideWhenUsed/>
    <w:rsid w:val="002D3FA7"/>
    <w:pPr>
      <w:tabs>
        <w:tab w:val="center" w:pos="4513"/>
        <w:tab w:val="right" w:pos="9026"/>
      </w:tabs>
    </w:pPr>
    <w:rPr>
      <w:rFonts w:ascii="Aptos" w:eastAsia="Aptos" w:hAnsi="Aptos" w:cs="Aptos"/>
      <w:color w:val="000000"/>
      <w:sz w:val="16"/>
      <w:szCs w:val="21"/>
    </w:rPr>
  </w:style>
  <w:style w:type="character" w:customStyle="1" w:styleId="HeaderChar">
    <w:name w:val="Header Char"/>
    <w:basedOn w:val="DefaultParagraphFont"/>
    <w:link w:val="Header"/>
    <w:uiPriority w:val="99"/>
    <w:rsid w:val="002D3FA7"/>
    <w:rPr>
      <w:rFonts w:ascii="Aptos" w:eastAsia="Aptos" w:hAnsi="Aptos" w:cs="Aptos"/>
      <w:color w:val="000000"/>
      <w:sz w:val="16"/>
      <w:szCs w:val="21"/>
    </w:rPr>
  </w:style>
  <w:style w:type="paragraph" w:styleId="Footer">
    <w:name w:val="footer"/>
    <w:link w:val="FooterChar"/>
    <w:uiPriority w:val="99"/>
    <w:unhideWhenUsed/>
    <w:rsid w:val="002D3FA7"/>
    <w:rPr>
      <w:rFonts w:asciiTheme="minorHAnsi" w:eastAsia="Aptos" w:hAnsiTheme="minorHAnsi" w:cs="Aptos"/>
      <w:color w:val="000000"/>
      <w:sz w:val="16"/>
      <w:szCs w:val="16"/>
    </w:rPr>
  </w:style>
  <w:style w:type="character" w:customStyle="1" w:styleId="FooterChar">
    <w:name w:val="Footer Char"/>
    <w:basedOn w:val="DefaultParagraphFont"/>
    <w:link w:val="Footer"/>
    <w:uiPriority w:val="99"/>
    <w:rsid w:val="002D3FA7"/>
    <w:rPr>
      <w:rFonts w:asciiTheme="minorHAnsi" w:eastAsia="Aptos" w:hAnsiTheme="minorHAnsi" w:cs="Aptos"/>
      <w:color w:val="000000"/>
      <w:sz w:val="16"/>
      <w:szCs w:val="16"/>
    </w:rPr>
  </w:style>
  <w:style w:type="table" w:styleId="TableGrid">
    <w:name w:val="Table Grid"/>
    <w:basedOn w:val="TableNormal"/>
    <w:uiPriority w:val="39"/>
    <w:rsid w:val="004C27A1"/>
    <w:rPr>
      <w:rFonts w:ascii="Aptos" w:eastAsia="Aptos" w:hAnsi="Aptos" w:cs="Aptos"/>
      <w:color w:val="00000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SPF">
    <w:name w:val="PSPF"/>
    <w:qFormat/>
    <w:rsid w:val="004C27A1"/>
    <w:pPr>
      <w:jc w:val="center"/>
    </w:pPr>
    <w:rPr>
      <w:rFonts w:asciiTheme="minorHAnsi" w:eastAsia="Aptos" w:hAnsiTheme="minorHAnsi" w:cs="Aptos"/>
      <w:b/>
      <w:bCs/>
      <w:color w:val="D8232A"/>
      <w:sz w:val="16"/>
      <w:szCs w:val="16"/>
    </w:rPr>
  </w:style>
  <w:style w:type="paragraph" w:customStyle="1" w:styleId="Supertitle">
    <w:name w:val="Supertitle"/>
    <w:basedOn w:val="Normal"/>
    <w:qFormat/>
    <w:rsid w:val="006741AA"/>
    <w:pPr>
      <w:spacing w:before="260" w:after="0" w:line="240" w:lineRule="auto"/>
    </w:pPr>
    <w:rPr>
      <w:b/>
      <w:bCs/>
      <w:color w:val="083A42"/>
      <w:sz w:val="36"/>
      <w:szCs w:val="36"/>
    </w:rPr>
  </w:style>
  <w:style w:type="paragraph" w:customStyle="1" w:styleId="SmallText">
    <w:name w:val="SmallText"/>
    <w:basedOn w:val="Footer"/>
    <w:qFormat/>
    <w:rsid w:val="006741AA"/>
    <w:rPr>
      <w:sz w:val="18"/>
      <w:szCs w:val="18"/>
    </w:rPr>
  </w:style>
  <w:style w:type="paragraph" w:customStyle="1" w:styleId="TableText">
    <w:name w:val="TableText"/>
    <w:qFormat/>
    <w:rsid w:val="006741AA"/>
    <w:pPr>
      <w:spacing w:before="50" w:after="50"/>
    </w:pPr>
    <w:rPr>
      <w:rFonts w:asciiTheme="minorHAnsi" w:eastAsia="Aptos" w:hAnsiTheme="minorHAnsi" w:cs="Aptos"/>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6</Pages>
  <Words>950</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POHLMANN</cp:lastModifiedBy>
  <cp:revision>4</cp:revision>
  <dcterms:created xsi:type="dcterms:W3CDTF">2026-02-27T22:13:00Z</dcterms:created>
  <dcterms:modified xsi:type="dcterms:W3CDTF">2026-02-27T23:15:00Z</dcterms:modified>
</cp:coreProperties>
</file>