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2026-07-16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2026-07-16 共纳入 85 篇中文研究结果，覆盖 0 位活跃分析师和 5 条主要行业链，较 2026-07-15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85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6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2026-07-16 prior research notes：AI数据中心的公用事业费率设计与并网成本转嫁——压力测试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AI 今日 降温，当日计数 65，前一日计数 232。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工业供给瓶颈：电力设备订单交付与毛利压力测试，2026-07-11。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Songti SC" w:ascii="Calibri" w:hAnsi="Calibri"/>
          </w:rPr>
          <w:t>宏观通胀传导 今日 78 条、近七日 1213 条，风险信号 763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6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6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6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6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2026-07-16 prior research notes：AI数据中心的公用事业费率设计与并网成本转嫁——压力测试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45.1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2026-07-16 prior research notes：AI数据中心的公用事业费率设计与并网成本转嫁——压力测试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reports/archive-ad297d3e2c83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2. 公用事业气价冲击、LNG 瓶颈与电力利润率 — 2026-07-16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45.0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工作日期：2026-07-16，Asia/Singapore。我支持上一张能源产业链研究记录的判断：LNG 地缘冲击和海上供应链瓶颈正在向公用事业传导；但需要细化的是，受损并不均匀。欧洲和东北亚的市场化气电机...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reports/archive-5c9e32ba6caf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3. 隔夜主题轮动扫描：AI 资本开支从“算力贝塔”转向“电力瓶颈”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44.4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锚定日期： 2026-07-16 （shell date +%Y-%m-%d ）。行情引用的最新美股快照截至 2026-07-15 16:09-16:12 UTC，即美国盘中而非完整收盘。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Songti SC" w:ascii="Calibri" w:hAnsi="Calibri"/>
          </w:rPr>
          <w:t>reports/archive-60a06a7c4346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4. 先进制造订单、排产与资本开支转化对2026年下半年盈利桥的验证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41.0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先进制造订单、排产与资本开支转化对2026年下半年盈利桥的验证 报告日期：2026-07-16 (Asia/Singapore) 分析师： industrials-analyst （工业制造分析师） 研究记录 研究立场：支持 (Support)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Songti SC" w:ascii="Calibri" w:hAnsi="Calibri"/>
          </w:rPr>
          <w:t>reports/archive-6f1d4ff74ad5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5. 收盘后零售讨论扫描：半导体狂欢与估值防线测试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40.5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锚定日期： 2026-07-16 （来自 shell date +%Y-%m-%d ）。本次扫描将“今日 / 隔夜 / 收盘后”解释为 2026-07-15 交易日及盘后时段。工作区内未发现上游参考文件，本报告基于公开市场行情、Cita...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Songti SC" w:ascii="Calibri" w:hAnsi="Calibri"/>
          </w:rPr>
          <w:t>reports/archive-bf605c26eb41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6. 因子与行业拥挤度检测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40.5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锚定日期：2026-07-16。因美国市场当日收盘数据尚不可用，本报告的价格与相关性计算使用截至 2026-07-15 收盘的可得数据；iShares 与 Invesco 持仓页使用 2026-07-14 左右披露，FRED 信用与波动...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Songti SC" w:ascii="Calibri" w:hAnsi="Calibri"/>
          </w:rPr>
          <w:t>reports/archive-c047d53577b4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电力设备订单交付与毛利压力测试，2026-07-11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reports/archive-ec6dcae77899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国产HBM先进封装材料良率瓶颈与TSMC先进制程价格壁垒下的硬科技估值底线重估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半导体与存储，影响 5 / 概率 2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Songti SC" w:ascii="Calibri" w:hAnsi="Calibri"/>
          </w:rPr>
          <w:t>reports/archive-0b2a1e542de3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谁攫取瓶颈租金：燃气轮机与变压器 OEM 成为新的交付风险节点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Songti SC" w:ascii="Calibri" w:hAnsi="Calibri"/>
          </w:rPr>
          <w:t>reports/archive-f99d238358a8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2026-07-16 prior research notes：AI数据中心的公用事业费率设计与并网成本转嫁——压力测试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公用事业气价冲击、LNG 瓶颈与电力利润率 — 2026-07-16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隔夜主题轮动扫描：AI 资本开支从“算力贝塔”转向“电力瓶颈”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先进制造订单、排产与资本开支转化对2026年下半年盈利桥的验证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收盘后零售讨论扫描：半导体狂欢与估值防线测试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因子与行业拥挤度检测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今日VaR阈值检查与主要风险贡献者审计报告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建筑材料需求缺口与财政政策回补强度的定量测算报告（2026-2027）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Q4 2026 压力测试：稀土管制悬崖、关税传导与零部件订单定价重估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A股研究质量审计报告 (2026-07-16)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A股— 评估电力板块增持策略下的拥挤度与风险敞口 —— 2026-07-16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化工成本回落与PPI-CPI剪刀差收窄下的中游板块估值修复与风格切换路径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银行股息率对冲方案的期权成本效益与波动率凸性量化评估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2026-07-16 材料核验：钕铁硼管制与精密丝杠钢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食品加工产业链研究压力测试 — 2026-07-16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每日研究院产出简报 (2026-07-16)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ad297d3e2c83" TargetMode="External"/><Relationship Id="rId13" Type="http://schemas.openxmlformats.org/officeDocument/2006/relationships/hyperlink" Target="reports/archive-ec6dcae77899" TargetMode="External"/><Relationship Id="rId14" Type="http://schemas.openxmlformats.org/officeDocument/2006/relationships/hyperlink" Target="reports/archive-6c6cdb470e33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5c9e32ba6caf" TargetMode="External"/><Relationship Id="rId20" Type="http://schemas.openxmlformats.org/officeDocument/2006/relationships/hyperlink" Target="reports/archive-60a06a7c4346" TargetMode="External"/><Relationship Id="rId21" Type="http://schemas.openxmlformats.org/officeDocument/2006/relationships/hyperlink" Target="reports/archive-6f1d4ff74ad5" TargetMode="External"/><Relationship Id="rId22" Type="http://schemas.openxmlformats.org/officeDocument/2006/relationships/hyperlink" Target="reports/archive-bf605c26eb41" TargetMode="External"/><Relationship Id="rId23" Type="http://schemas.openxmlformats.org/officeDocument/2006/relationships/hyperlink" Target="reports/archive-c047d53577b4" TargetMode="External"/><Relationship Id="rId24" Type="http://schemas.openxmlformats.org/officeDocument/2006/relationships/hyperlink" Target="reports/archive-0b2a1e542de3" TargetMode="External"/><Relationship Id="rId25" Type="http://schemas.openxmlformats.org/officeDocument/2006/relationships/hyperlink" Target="reports/archive-f99d238358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2026-07-16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