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Calibri" w:hAnsi="Calibri" w:eastAsia="Songti SC"/>
          <w:b/>
          <w:i w:val="0"/>
          <w:color w:val="285B9D"/>
          <w:sz w:val="20"/>
        </w:rPr>
        <w:t>AI Institute</w:t>
      </w:r>
    </w:p>
    <w:p>
      <w:pPr>
        <w:pStyle w:val="Title"/>
        <w:spacing w:before="0" w:after="80" w:line="264" w:lineRule="auto"/>
      </w:pPr>
      <w:r>
        <w:rPr>
          <w:rFonts w:ascii="Calibri" w:hAnsi="Calibri" w:eastAsia="Songti SC"/>
          <w:b w:val="0"/>
          <w:i w:val="0"/>
        </w:rPr>
        <w:t>每日投资研究简报</w:t>
      </w:r>
    </w:p>
    <w:p>
      <w:pPr>
        <w:pStyle w:val="Subtitle"/>
        <w:spacing w:before="0" w:after="240" w:line="264" w:lineRule="auto"/>
      </w:pPr>
      <w:r>
        <w:rPr>
          <w:rFonts w:ascii="Calibri" w:hAnsi="Calibri" w:eastAsia="Songti SC"/>
          <w:b w:val="0"/>
          <w:i w:val="0"/>
        </w:rPr>
        <w:t>2026-05-30 · webpage screenshot DOCX edition</w:t>
      </w:r>
    </w:p>
    <w:p>
      <w:pPr>
        <w:spacing w:before="0" w:after="160" w:line="264" w:lineRule="auto"/>
      </w:pPr>
      <w:r>
        <w:rPr>
          <w:rFonts w:ascii="Calibri" w:hAnsi="Calibri" w:eastAsia="Songti SC"/>
          <w:b/>
          <w:i w:val="0"/>
          <w:color w:val="0B2545"/>
          <w:sz w:val="34"/>
        </w:rPr>
        <w:t>宏观通胀传导仍是今日主线，AI 基础设施提供第二层验证。</w:t>
      </w:r>
    </w:p>
    <w:p>
      <w:pPr>
        <w:spacing w:before="0" w:after="240" w:line="264" w:lineRule="auto"/>
      </w:pPr>
      <w:r>
        <w:rPr>
          <w:rFonts w:ascii="Calibri" w:hAnsi="Calibri" w:eastAsia="Songti SC"/>
          <w:b w:val="0"/>
          <w:i w:val="0"/>
          <w:color w:val="334155"/>
          <w:sz w:val="22"/>
        </w:rPr>
        <w:t>2026-05-30 共纳入 166 篇中文研究结果，覆盖 13 位活跃分析师和 6 条主要行业链，较 2026-05-29 的主题变化可在右侧动量表中核对。简报优先呈现可被报告链接追溯的结论，而不是孤立摘要。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Songti SC"/>
                <w:b/>
                <w:color w:val="667085"/>
                <w:sz w:val="17"/>
              </w:rPr>
              <w:t>今日报告</w:t>
              <w:br/>
            </w:r>
            <w:r>
              <w:rPr>
                <w:rFonts w:ascii="Calibri" w:hAnsi="Calibri" w:eastAsia="Songti SC"/>
                <w:b/>
                <w:color w:val="285B9D"/>
                <w:sz w:val="36"/>
              </w:rPr>
              <w:t>166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Songti SC"/>
                <w:b/>
                <w:color w:val="667085"/>
                <w:sz w:val="17"/>
              </w:rPr>
              <w:t>活跃分析师</w:t>
              <w:br/>
            </w:r>
            <w:r>
              <w:rPr>
                <w:rFonts w:ascii="Calibri" w:hAnsi="Calibri" w:eastAsia="Songti SC"/>
                <w:b/>
                <w:color w:val="237A5B"/>
                <w:sz w:val="36"/>
              </w:rPr>
              <w:t>13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Songti SC"/>
                <w:b/>
                <w:color w:val="667085"/>
                <w:sz w:val="17"/>
              </w:rPr>
              <w:t>活跃链条</w:t>
              <w:br/>
            </w:r>
            <w:r>
              <w:rPr>
                <w:rFonts w:ascii="Calibri" w:hAnsi="Calibri" w:eastAsia="Songti SC"/>
                <w:b/>
                <w:color w:val="A8731B"/>
                <w:sz w:val="36"/>
              </w:rPr>
              <w:t>6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Songti SC"/>
                <w:b/>
                <w:color w:val="667085"/>
                <w:sz w:val="17"/>
              </w:rPr>
              <w:t>风险信号</w:t>
              <w:br/>
            </w:r>
            <w:r>
              <w:rPr>
                <w:rFonts w:ascii="Calibri" w:hAnsi="Calibri" w:eastAsia="Songti SC"/>
                <w:b/>
                <w:color w:val="B43D49"/>
                <w:sz w:val="36"/>
              </w:rPr>
              <w:t>16</w:t>
            </w:r>
          </w:p>
        </w:tc>
      </w:tr>
    </w:tbl>
    <w:p>
      <w:pPr>
        <w:spacing w:before="0" w:after="160" w:line="264" w:lineRule="auto"/>
      </w:pP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5-30-web-summ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Songti SC"/>
          <w:b w:val="0"/>
          <w:i/>
          <w:color w:val="667085"/>
          <w:sz w:val="17"/>
        </w:rPr>
        <w:t>Figure 1. Webpage snapshot of the daily synthesis and key operating metrics.</w:t>
      </w:r>
    </w:p>
    <w:p>
      <w:pPr>
        <w:pStyle w:val="Heading1"/>
      </w:pPr>
      <w:r>
        <w:t>1. 综合研判</w:t>
      </w:r>
    </w:p>
    <w:p>
      <w:pPr>
        <w:spacing w:after="140"/>
        <w:ind w:left="259" w:hanging="259"/>
      </w:pPr>
      <w:r>
        <w:rPr>
          <w:rFonts w:ascii="Calibri" w:hAnsi="Calibri" w:eastAsia="Songti SC"/>
          <w:b/>
          <w:color w:val="285B9D"/>
          <w:sz w:val="21"/>
        </w:rPr>
        <w:t xml:space="preserve">主线判断: </w:t>
      </w:r>
      <w:hyperlink r:id="rId12">
        <w:r>
          <w:rPr>
            <w:color w:val="285B9D"/>
            <w:u w:val="single"/>
            <w:rFonts w:eastAsia="Songti SC" w:ascii="Calibri" w:hAnsi="Calibri"/>
          </w:rPr>
          <w:t>HBM 产能缺口与 AI 硬件供应链约束——对杠铃策略的压力测试 是今日最高权重结论，核心证据来自 未识别，关联 AI 基础设施。</w:t>
        </w:r>
      </w:hyperlink>
    </w:p>
    <w:p>
      <w:pPr>
        <w:spacing w:after="140"/>
        <w:ind w:left="259" w:hanging="259"/>
      </w:pPr>
      <w:r>
        <w:rPr>
          <w:rFonts w:ascii="Calibri" w:hAnsi="Calibri" w:eastAsia="Songti SC"/>
          <w:b/>
          <w:color w:val="285B9D"/>
          <w:sz w:val="21"/>
        </w:rPr>
        <w:t xml:space="preserve">变化信号: </w:t>
      </w:r>
      <w:r>
        <w:rPr>
          <w:rFonts w:ascii="Calibri" w:hAnsi="Calibri" w:eastAsia="Songti SC"/>
          <w:color w:val="111827"/>
          <w:sz w:val="21"/>
        </w:rPr>
        <w:t>AI 今日 降温，当日计数 144，前一日计数 180。</w:t>
      </w:r>
    </w:p>
    <w:p>
      <w:pPr>
        <w:spacing w:after="140"/>
        <w:ind w:left="259" w:hanging="259"/>
      </w:pPr>
      <w:r>
        <w:rPr>
          <w:rFonts w:ascii="Calibri" w:hAnsi="Calibri" w:eastAsia="Songti SC"/>
          <w:b/>
          <w:color w:val="285B9D"/>
          <w:sz w:val="21"/>
        </w:rPr>
        <w:t xml:space="preserve">风险焦点: </w:t>
      </w:r>
      <w:hyperlink r:id="rId13">
        <w:r>
          <w:rPr>
            <w:color w:val="285B9D"/>
            <w:u w:val="single"/>
            <w:rFonts w:eastAsia="Songti SC" w:ascii="Calibri" w:hAnsi="Calibri"/>
          </w:rPr>
          <w:t>风险矩阵最需要跟踪的是 AI 基础设施：前序研究研究报告 — 2026-05-28。</w:t>
        </w:r>
      </w:hyperlink>
    </w:p>
    <w:p>
      <w:pPr>
        <w:spacing w:after="140"/>
        <w:ind w:left="259" w:hanging="259"/>
      </w:pPr>
      <w:r>
        <w:rPr>
          <w:rFonts w:ascii="Calibri" w:hAnsi="Calibri" w:eastAsia="Songti SC"/>
          <w:b/>
          <w:color w:val="285B9D"/>
          <w:sz w:val="21"/>
        </w:rPr>
        <w:t xml:space="preserve">证据密度: </w:t>
      </w:r>
      <w:hyperlink r:id="rId14">
        <w:r>
          <w:rPr>
            <w:color w:val="285B9D"/>
            <w:u w:val="single"/>
            <w:rFonts w:eastAsia="Songti SC" w:ascii="Calibri" w:hAnsi="Calibri"/>
          </w:rPr>
          <w:t>宏观通胀传导 今日 145 条、近七日 1426 条，风险信号 953 条。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FF7E6"/>
          </w:tcPr>
          <w:p>
            <w:r>
              <w:rPr>
                <w:rFonts w:ascii="Calibri" w:hAnsi="Calibri" w:eastAsia="Songti SC"/>
                <w:b/>
                <w:color w:val="7A5A00"/>
                <w:sz w:val="21"/>
              </w:rPr>
              <w:t xml:space="preserve">投资解读: </w:t>
            </w:r>
            <w:r>
              <w:rPr>
                <w:rFonts w:ascii="Calibri" w:hAnsi="Calibri" w:eastAsia="Songti SC"/>
                <w:color w:val="7C2D12"/>
                <w:sz w:val="21"/>
              </w:rPr>
              <w:t>投资含义上，本日简报更适合作为主题和风险筛选器：先看行业链雷达确认资金关注方向，再用风险矩阵排除证据不足或约束过强的交易表达。</w:t>
            </w:r>
          </w:p>
        </w:tc>
      </w:tr>
    </w:tbl>
    <w:p>
      <w:pPr>
        <w:spacing w:before="0" w:after="120" w:line="264" w:lineRule="auto"/>
      </w:pPr>
    </w:p>
    <w:p>
      <w:pPr>
        <w:pStyle w:val="Heading1"/>
      </w:pPr>
      <w:r>
        <w:t>2. 可视化仪表板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5-30-web-tren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Songti SC"/>
          <w:b w:val="0"/>
          <w:i/>
          <w:color w:val="667085"/>
          <w:sz w:val="17"/>
        </w:rPr>
        <w:t>Figure 2. Webpage snapshot of topic momentum and daily change signals.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5-30-web-chai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Songti SC"/>
          <w:b w:val="0"/>
          <w:i/>
          <w:color w:val="667085"/>
          <w:sz w:val="17"/>
        </w:rPr>
        <w:t>Figure 3. Webpage snapshot of industry-chain heat and evidence links.</w:t>
      </w:r>
    </w:p>
    <w:p>
      <w:r>
        <w:br w:type="page"/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5-30-web-ris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Songti SC"/>
          <w:b w:val="0"/>
          <w:i/>
          <w:color w:val="667085"/>
          <w:sz w:val="17"/>
        </w:rPr>
        <w:t>Figure 4. Webpage snapshot of the risk matrix and pressure-test items.</w:t>
      </w:r>
    </w:p>
    <w:p>
      <w:r>
        <w:br w:type="page"/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5-30-web-heatma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Songti SC"/>
          <w:b w:val="0"/>
          <w:i/>
          <w:color w:val="667085"/>
          <w:sz w:val="17"/>
        </w:rPr>
        <w:t>Figure 5. Webpage snapshot of analyst activity and ranked conclusions.</w:t>
      </w:r>
    </w:p>
    <w:p>
      <w:pPr>
        <w:pStyle w:val="Heading1"/>
      </w:pPr>
      <w:r>
        <w:t>3. 今日核心结论</w:t>
      </w:r>
    </w:p>
    <w:p>
      <w:pPr>
        <w:spacing w:before="0" w:after="40" w:line="264" w:lineRule="auto"/>
      </w:pPr>
      <w:r>
        <w:rPr>
          <w:rFonts w:ascii="Calibri" w:hAnsi="Calibri" w:eastAsia="Songti SC"/>
          <w:b/>
          <w:i w:val="0"/>
          <w:color w:val="0B2545"/>
          <w:sz w:val="23"/>
        </w:rPr>
        <w:t>1. HBM 产能缺口与 AI 硬件供应链约束——对杠铃策略的压力测试</w:t>
      </w:r>
    </w:p>
    <w:p>
      <w:pPr>
        <w:spacing w:before="0" w:after="4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>未识别 · AI 基础设施 · score 56.7</w:t>
      </w:r>
    </w:p>
    <w:p>
      <w:pPr>
        <w:spacing w:before="0" w:after="100" w:line="264" w:lineRule="auto"/>
      </w:pPr>
      <w:r>
        <w:rPr>
          <w:rFonts w:ascii="Calibri" w:hAnsi="Calibri" w:eastAsia="Songti SC"/>
          <w:b w:val="0"/>
          <w:i w:val="0"/>
          <w:color w:val="334155"/>
          <w:sz w:val="20"/>
        </w:rPr>
        <w:t>作者： TMT 行业分析师 (TMT Analyst) 官方工作日期： 2026-05-30 会话主题： AI 算力消化 vs. 推理经济学拐点：是周期还是体制切换？ 研究记录索引： 6/8 立场： STRESS-TEST（压力测试 prior...</w:t>
      </w:r>
    </w:p>
    <w:p>
      <w:pPr>
        <w:spacing w:before="0" w:after="16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 xml:space="preserve">Report: </w:t>
      </w:r>
      <w:hyperlink r:id="rId12">
        <w:r>
          <w:rPr>
            <w:color w:val="285B9D"/>
            <w:u w:val="single"/>
            <w:rFonts w:eastAsia="Songti SC" w:ascii="Calibri" w:hAnsi="Calibri"/>
          </w:rPr>
          <w:t>reports/archive-5e7a13d18f92</w:t>
        </w:r>
      </w:hyperlink>
    </w:p>
    <w:p>
      <w:pPr>
        <w:spacing w:before="0" w:after="40" w:line="264" w:lineRule="auto"/>
      </w:pPr>
      <w:r>
        <w:rPr>
          <w:rFonts w:ascii="Calibri" w:hAnsi="Calibri" w:eastAsia="Songti SC"/>
          <w:b/>
          <w:i w:val="0"/>
          <w:color w:val="0B2545"/>
          <w:sz w:val="23"/>
        </w:rPr>
        <w:t>2. 全球贸易壁垒与出口管制对电力设备出海增长的影响（压力测试）</w:t>
      </w:r>
    </w:p>
    <w:p>
      <w:pPr>
        <w:spacing w:before="0" w:after="4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>未识别 · 电力与电网 · score 54.8</w:t>
      </w:r>
    </w:p>
    <w:p>
      <w:pPr>
        <w:spacing w:before="0" w:after="100" w:line="264" w:lineRule="auto"/>
      </w:pPr>
      <w:r>
        <w:rPr>
          <w:rFonts w:ascii="Calibri" w:hAnsi="Calibri" w:eastAsia="Songti SC"/>
          <w:b w:val="0"/>
          <w:i w:val="0"/>
          <w:color w:val="334155"/>
          <w:sz w:val="20"/>
        </w:rPr>
        <w:t>分析师： 政策分析师（Policy Analyst） 工作日： 2026-05-30（亚洲/新加坡） 所属研究记录 · 立场：stress-test 议题对象： 评估美欧针对变压器、GIS 开关与电网自动化设备可能实施的关税或贸...</w:t>
      </w:r>
    </w:p>
    <w:p>
      <w:pPr>
        <w:spacing w:before="0" w:after="16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 xml:space="preserve">Report: </w:t>
      </w:r>
      <w:hyperlink r:id="rId19">
        <w:r>
          <w:rPr>
            <w:color w:val="285B9D"/>
            <w:u w:val="single"/>
            <w:rFonts w:eastAsia="Songti SC" w:ascii="Calibri" w:hAnsi="Calibri"/>
          </w:rPr>
          <w:t>reports/archive-62c018213b9d</w:t>
        </w:r>
      </w:hyperlink>
    </w:p>
    <w:p>
      <w:pPr>
        <w:spacing w:before="0" w:after="40" w:line="264" w:lineRule="auto"/>
      </w:pPr>
      <w:r>
        <w:rPr>
          <w:rFonts w:ascii="Calibri" w:hAnsi="Calibri" w:eastAsia="Songti SC"/>
          <w:b/>
          <w:i w:val="0"/>
          <w:color w:val="0B2545"/>
          <w:sz w:val="23"/>
        </w:rPr>
        <w:t>3. 硅与电网的步调错配：2026-05-30 电气设备产能极限的压力测试</w:t>
      </w:r>
    </w:p>
    <w:p>
      <w:pPr>
        <w:spacing w:before="0" w:after="4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>未识别 · 工业供给瓶颈 · score 52.7</w:t>
      </w:r>
    </w:p>
    <w:p>
      <w:pPr>
        <w:spacing w:before="0" w:after="100" w:line="264" w:lineRule="auto"/>
      </w:pPr>
      <w:r>
        <w:rPr>
          <w:rFonts w:ascii="Calibri" w:hAnsi="Calibri" w:eastAsia="Songti SC"/>
          <w:b w:val="0"/>
          <w:i w:val="0"/>
          <w:color w:val="334155"/>
          <w:sz w:val="20"/>
        </w:rPr>
        <w:t>研究记录 - 作者角色： 工业制造分析师 (Industrials Analyst) - 工作日期 (新加坡时间)： 2026-05-30 - 元数据页脚日期： 2026-05-30 - 研究立场： 压力测试 (stress-test) - 研究 Portal ID：...</w:t>
      </w:r>
    </w:p>
    <w:p>
      <w:pPr>
        <w:spacing w:before="0" w:after="16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 xml:space="preserve">Report: </w:t>
      </w:r>
      <w:hyperlink r:id="rId20">
        <w:r>
          <w:rPr>
            <w:color w:val="285B9D"/>
            <w:u w:val="single"/>
            <w:rFonts w:eastAsia="Songti SC" w:ascii="Calibri" w:hAnsi="Calibri"/>
          </w:rPr>
          <w:t>reports/archive-a7bc64395453</w:t>
        </w:r>
      </w:hyperlink>
    </w:p>
    <w:p>
      <w:pPr>
        <w:spacing w:before="0" w:after="40" w:line="264" w:lineRule="auto"/>
      </w:pPr>
      <w:r>
        <w:rPr>
          <w:rFonts w:ascii="Calibri" w:hAnsi="Calibri" w:eastAsia="Songti SC"/>
          <w:b/>
          <w:i w:val="0"/>
          <w:color w:val="0B2545"/>
          <w:sz w:val="23"/>
        </w:rPr>
        <w:t>4. 工业软件与智能体标准化交付商业化壁垒的深度压力测试报告</w:t>
      </w:r>
    </w:p>
    <w:p>
      <w:pPr>
        <w:spacing w:before="0" w:after="4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>未识别 · AI 基础设施 · score 51.0</w:t>
      </w:r>
    </w:p>
    <w:p>
      <w:pPr>
        <w:spacing w:before="0" w:after="100" w:line="264" w:lineRule="auto"/>
      </w:pPr>
      <w:r>
        <w:rPr>
          <w:rFonts w:ascii="Calibri" w:hAnsi="Calibri" w:eastAsia="Songti SC"/>
          <w:b w:val="0"/>
          <w:i w:val="0"/>
          <w:color w:val="334155"/>
          <w:sz w:val="20"/>
        </w:rPr>
        <w:t>作者： 工业制造分析师 (Industrials Analyst) 官方工作日期： 2026-05-30 会话主题： AI 算力消化 vs. 推理经济学拐点:是周期还是体制切换? (AI Compute Absorption vs. Inference Economics I...</w:t>
      </w:r>
    </w:p>
    <w:p>
      <w:pPr>
        <w:spacing w:before="0" w:after="16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 xml:space="preserve">Report: </w:t>
      </w:r>
      <w:hyperlink r:id="rId21">
        <w:r>
          <w:rPr>
            <w:color w:val="285B9D"/>
            <w:u w:val="single"/>
            <w:rFonts w:eastAsia="Songti SC" w:ascii="Calibri" w:hAnsi="Calibri"/>
          </w:rPr>
          <w:t>reports/archive-185ca7c870a6</w:t>
        </w:r>
      </w:hyperlink>
    </w:p>
    <w:p>
      <w:pPr>
        <w:spacing w:before="0" w:after="40" w:line="264" w:lineRule="auto"/>
      </w:pPr>
      <w:r>
        <w:rPr>
          <w:rFonts w:ascii="Calibri" w:hAnsi="Calibri" w:eastAsia="Songti SC"/>
          <w:b/>
          <w:i w:val="0"/>
          <w:color w:val="0B2545"/>
          <w:sz w:val="23"/>
        </w:rPr>
        <w:t>5. AI 算力消化 vs. 推理经济学拐点，2026-05-30</w:t>
      </w:r>
    </w:p>
    <w:p>
      <w:pPr>
        <w:spacing w:before="0" w:after="4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>未识别 · AI 基础设施 · score 47.5</w:t>
      </w:r>
    </w:p>
    <w:p>
      <w:pPr>
        <w:spacing w:before="0" w:after="100" w:line="264" w:lineRule="auto"/>
      </w:pPr>
      <w:r>
        <w:rPr>
          <w:rFonts w:ascii="Calibri" w:hAnsi="Calibri" w:eastAsia="Songti SC"/>
          <w:b w:val="0"/>
          <w:i w:val="0"/>
          <w:color w:val="334155"/>
          <w:sz w:val="20"/>
        </w:rPr>
        <w:t>截至 2026-05-30（Asia/Singapore），我对初始命题采取综合判断而非完全支持：训练导向 capex 的边际 ROI 尚未明确跌破长期下行拐点，但宽基 AI 基建 beta 的投资门槛已经显著抬升，因为云厂商...</w:t>
      </w:r>
    </w:p>
    <w:p>
      <w:pPr>
        <w:spacing w:before="0" w:after="16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 xml:space="preserve">Report: </w:t>
      </w:r>
      <w:hyperlink r:id="rId22">
        <w:r>
          <w:rPr>
            <w:color w:val="285B9D"/>
            <w:u w:val="single"/>
            <w:rFonts w:eastAsia="Songti SC" w:ascii="Calibri" w:hAnsi="Calibri"/>
          </w:rPr>
          <w:t>reports/archive-d5ab82e88430</w:t>
        </w:r>
      </w:hyperlink>
    </w:p>
    <w:p>
      <w:pPr>
        <w:spacing w:before="0" w:after="40" w:line="264" w:lineRule="auto"/>
      </w:pPr>
      <w:r>
        <w:rPr>
          <w:rFonts w:ascii="Calibri" w:hAnsi="Calibri" w:eastAsia="Songti SC"/>
          <w:b/>
          <w:i w:val="0"/>
          <w:color w:val="0B2545"/>
          <w:sz w:val="23"/>
        </w:rPr>
        <w:t>6. 碳价上行与电力成本波动对基础材料产业链利润的影响分析</w:t>
      </w:r>
    </w:p>
    <w:p>
      <w:pPr>
        <w:spacing w:before="0" w:after="4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>未识别 · 宏观通胀传导 · score 47.4</w:t>
      </w:r>
    </w:p>
    <w:p>
      <w:pPr>
        <w:spacing w:before="0" w:after="100" w:line="264" w:lineRule="auto"/>
      </w:pPr>
      <w:r>
        <w:rPr>
          <w:rFonts w:ascii="Calibri" w:hAnsi="Calibri" w:eastAsia="Songti SC"/>
          <w:b w:val="0"/>
          <w:i w:val="0"/>
          <w:color w:val="334155"/>
          <w:sz w:val="20"/>
        </w:rPr>
        <w:t>发布日期：2026年5月30日 分析师：材料行业分析师 (Materials Analyst) 报告编号：research discussion/3d5a3409-cabf-4b8e-9c8c-27ca0697b89b/research note</w:t>
      </w:r>
    </w:p>
    <w:p>
      <w:pPr>
        <w:spacing w:before="0" w:after="16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 xml:space="preserve">Report: </w:t>
      </w:r>
      <w:hyperlink r:id="rId23">
        <w:r>
          <w:rPr>
            <w:color w:val="285B9D"/>
            <w:u w:val="single"/>
            <w:rFonts w:eastAsia="Songti SC" w:ascii="Calibri" w:hAnsi="Calibri"/>
          </w:rPr>
          <w:t>reports/archive-bb4a5137d4c7</w:t>
        </w:r>
      </w:hyperlink>
    </w:p>
    <w:p>
      <w:pPr>
        <w:pStyle w:val="Heading1"/>
      </w:pPr>
      <w:r>
        <w:t>4. 重点跟踪事项</w:t>
      </w:r>
    </w:p>
    <w:p>
      <w:pPr>
        <w:spacing w:before="0" w:after="40" w:line="264" w:lineRule="auto"/>
      </w:pPr>
      <w:r>
        <w:rPr>
          <w:rFonts w:ascii="Calibri" w:hAnsi="Calibri" w:eastAsia="Songti SC"/>
          <w:b/>
          <w:i w:val="0"/>
          <w:color w:val="0B2545"/>
          <w:sz w:val="22"/>
        </w:rPr>
        <w:t>前序研究研究报告 — 2026-05-28</w:t>
      </w:r>
    </w:p>
    <w:p>
      <w:pPr>
        <w:spacing w:before="0" w:after="60" w:line="264" w:lineRule="auto"/>
      </w:pPr>
      <w:r>
        <w:rPr>
          <w:rFonts w:ascii="Calibri" w:hAnsi="Calibri" w:eastAsia="Songti SC"/>
          <w:b w:val="0"/>
          <w:i w:val="0"/>
          <w:color w:val="334155"/>
          <w:sz w:val="20"/>
        </w:rPr>
        <w:t>AI 基础设施，影响 5 / 概率 5</w:t>
      </w:r>
    </w:p>
    <w:p>
      <w:pPr>
        <w:spacing w:before="0" w:after="16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 xml:space="preserve">Report: </w:t>
      </w:r>
      <w:hyperlink r:id="rId13">
        <w:r>
          <w:rPr>
            <w:color w:val="285B9D"/>
            <w:u w:val="single"/>
            <w:rFonts w:eastAsia="Songti SC" w:ascii="Calibri" w:hAnsi="Calibri"/>
          </w:rPr>
          <w:t>reports/archive-19bf4c5712c0</w:t>
        </w:r>
      </w:hyperlink>
    </w:p>
    <w:p>
      <w:pPr>
        <w:spacing w:before="0" w:after="40" w:line="264" w:lineRule="auto"/>
      </w:pPr>
      <w:r>
        <w:rPr>
          <w:rFonts w:ascii="Calibri" w:hAnsi="Calibri" w:eastAsia="Songti SC"/>
          <w:b/>
          <w:i w:val="0"/>
          <w:color w:val="0B2545"/>
          <w:sz w:val="22"/>
        </w:rPr>
        <w:t>AI算力扩张与电网基础设施约束：压力测试CapEx叙事的物理极限</w:t>
      </w:r>
    </w:p>
    <w:p>
      <w:pPr>
        <w:spacing w:before="0" w:after="60" w:line="264" w:lineRule="auto"/>
      </w:pPr>
      <w:r>
        <w:rPr>
          <w:rFonts w:ascii="Calibri" w:hAnsi="Calibri" w:eastAsia="Songti SC"/>
          <w:b w:val="0"/>
          <w:i w:val="0"/>
          <w:color w:val="334155"/>
          <w:sz w:val="20"/>
        </w:rPr>
        <w:t>AI 基础设施，影响 5 / 概率 5</w:t>
      </w:r>
    </w:p>
    <w:p>
      <w:pPr>
        <w:spacing w:before="0" w:after="16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 xml:space="preserve">Report: </w:t>
      </w:r>
      <w:hyperlink r:id="rId24">
        <w:r>
          <w:rPr>
            <w:color w:val="285B9D"/>
            <w:u w:val="single"/>
            <w:rFonts w:eastAsia="Songti SC" w:ascii="Calibri" w:hAnsi="Calibri"/>
          </w:rPr>
          <w:t>reports/archive-393766a70997</w:t>
        </w:r>
      </w:hyperlink>
    </w:p>
    <w:p>
      <w:pPr>
        <w:spacing w:before="0" w:after="40" w:line="264" w:lineRule="auto"/>
      </w:pPr>
      <w:r>
        <w:rPr>
          <w:rFonts w:ascii="Calibri" w:hAnsi="Calibri" w:eastAsia="Songti SC"/>
          <w:b/>
          <w:i w:val="0"/>
          <w:color w:val="0B2545"/>
          <w:sz w:val="22"/>
        </w:rPr>
        <w:t>电网现代化与AI扩张驱动的电力设备链：变压器、开关柜及电缆的订单可见度与毛利韧性</w:t>
      </w:r>
    </w:p>
    <w:p>
      <w:pPr>
        <w:spacing w:before="0" w:after="60" w:line="264" w:lineRule="auto"/>
      </w:pPr>
      <w:r>
        <w:rPr>
          <w:rFonts w:ascii="Calibri" w:hAnsi="Calibri" w:eastAsia="Songti SC"/>
          <w:b w:val="0"/>
          <w:i w:val="0"/>
          <w:color w:val="334155"/>
          <w:sz w:val="20"/>
        </w:rPr>
        <w:t>电力与电网，影响 5 / 概率 4</w:t>
      </w:r>
    </w:p>
    <w:p>
      <w:pPr>
        <w:spacing w:before="0" w:after="16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 xml:space="preserve">Report: </w:t>
      </w:r>
      <w:hyperlink r:id="rId25">
        <w:r>
          <w:rPr>
            <w:color w:val="285B9D"/>
            <w:u w:val="single"/>
            <w:rFonts w:eastAsia="Songti SC" w:ascii="Calibri" w:hAnsi="Calibri"/>
          </w:rPr>
          <w:t>reports/archive-0cbd9f979e88</w:t>
        </w:r>
      </w:hyperlink>
    </w:p>
    <w:p>
      <w:pPr>
        <w:pStyle w:val="Heading1"/>
      </w:pPr>
      <w:r>
        <w:t>5. 证据表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720"/>
        <w:gridCol w:w="1560"/>
        <w:gridCol w:w="1680"/>
        <w:gridCol w:w="900"/>
        <w:gridCol w:w="1500"/>
      </w:tblGrid>
      <w:tr>
        <w:tc>
          <w:tcPr>
            <w:tcW w:type="dxa" w:w="372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475569"/>
                <w:sz w:val="18"/>
              </w:rPr>
              <w:t>报告</w:t>
            </w:r>
          </w:p>
        </w:tc>
        <w:tc>
          <w:tcPr>
            <w:tcW w:type="dxa" w:w="156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475569"/>
                <w:sz w:val="18"/>
              </w:rPr>
              <w:t>分析师</w:t>
            </w:r>
          </w:p>
        </w:tc>
        <w:tc>
          <w:tcPr>
            <w:tcW w:type="dxa" w:w="168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475569"/>
                <w:sz w:val="18"/>
              </w:rPr>
              <w:t>行业链</w:t>
            </w:r>
          </w:p>
        </w:tc>
        <w:tc>
          <w:tcPr>
            <w:tcW w:type="dxa" w:w="90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475569"/>
                <w:sz w:val="18"/>
              </w:rPr>
              <w:t>评分</w:t>
            </w:r>
          </w:p>
        </w:tc>
        <w:tc>
          <w:tcPr>
            <w:tcW w:type="dxa" w:w="150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475569"/>
                <w:sz w:val="18"/>
              </w:rPr>
              <w:t>风险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HBM 产能缺口与 AI 硬件供应链约束——对杠铃策略的压力测试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56.7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风险 3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全球贸易壁垒与出口管制对电力设备出海增长的影响（压力测试）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电力与电网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54.8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硅与电网的步调错配：2026-05-30 电气设备产能极限的压力测试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工业供给瓶颈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52.7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工业软件与智能体标准化交付商业化壁垒的深度压力测试报告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51.0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AI 算力消化 vs. 推理经济学拐点，2026-05-30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47.5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碳价上行与电力成本波动对基础材料产业链利润的影响分析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47.4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第 06 张 —— 电力设备核心金属（铜、铝）供应缺口与成本传导机制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工业供给瓶颈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46.7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公用事业信用分化下的美股电力板块投资策略重构与风格轮动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46.1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SiC衬底产能扩张 vs 下游配电/SST/储能需求：错配压力测试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工业供给瓶颈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45.6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AI电力基础设施的监管与地缘政治风险：FERC重组与中国出口许可管制如何具体重塑AI能源供应链的成本...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44.9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房地产综合：AI电力稀缺把数据中心变成“带电土地”基础设施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44.8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专题研究：电力容量瓶颈与配电侧投资逻辑——AI 时代的“最后三公里”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44.3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风险 3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材料行业压力测试：硬科技双轨组合背后的上游瓶颈（2026-05-30）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43.9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智能电网升级与宽禁带功率半导体需求传导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43.8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能源价格波动对农资成本及食品加工上游供应链的影响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43.3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SNDK 投资论点整合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深研主编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43.2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AI算力负荷增长下的电网设备与公用事业受益链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43.1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政策专题研究：FERC 大额负荷裁定细则与全球电力监管政策外溢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43.0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风险 2</w:t>
            </w:r>
          </w:p>
        </w:tc>
      </w:tr>
    </w:tbl>
    <w:p>
      <w:pPr>
        <w:spacing w:before="0" w:after="160" w:line="264" w:lineRule="auto"/>
      </w:pPr>
      <w:r>
        <w:rPr>
          <w:rFonts w:ascii="Calibri" w:hAnsi="Calibri" w:eastAsia="Songti SC"/>
          <w:b w:val="0"/>
          <w:i/>
          <w:color w:val="667085"/>
          <w:sz w:val="17"/>
        </w:rPr>
        <w:t>Table 1. Evidence table excerpt. Full evidence remains available in the interactive daily brief.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Songti SC"/>
        <w:color w:val="667085"/>
        <w:sz w:val="17"/>
      </w:rPr>
      <w:t>Generated from local AI Institute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Songti SC"/>
        <w:color w:val="667085"/>
        <w:sz w:val="18"/>
      </w:rPr>
      <w:t>AI Institute Daily Investor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Songti SC"/>
      <w:b w:val="0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Songti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Songti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Songti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Songti SC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Songti SC"/>
      <w:b w:val="0"/>
      <w:i/>
      <w:iCs/>
      <w:color w:val="47556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reports/archive-5e7a13d18f92" TargetMode="External"/><Relationship Id="rId13" Type="http://schemas.openxmlformats.org/officeDocument/2006/relationships/hyperlink" Target="reports/archive-19bf4c5712c0" TargetMode="External"/><Relationship Id="rId14" Type="http://schemas.openxmlformats.org/officeDocument/2006/relationships/hyperlink" Target="reports/archive-073f2631b88c" TargetMode="Externa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hyperlink" Target="reports/archive-62c018213b9d" TargetMode="External"/><Relationship Id="rId20" Type="http://schemas.openxmlformats.org/officeDocument/2006/relationships/hyperlink" Target="reports/archive-a7bc64395453" TargetMode="External"/><Relationship Id="rId21" Type="http://schemas.openxmlformats.org/officeDocument/2006/relationships/hyperlink" Target="reports/archive-185ca7c870a6" TargetMode="External"/><Relationship Id="rId22" Type="http://schemas.openxmlformats.org/officeDocument/2006/relationships/hyperlink" Target="reports/archive-d5ab82e88430" TargetMode="External"/><Relationship Id="rId23" Type="http://schemas.openxmlformats.org/officeDocument/2006/relationships/hyperlink" Target="reports/archive-bb4a5137d4c7" TargetMode="External"/><Relationship Id="rId24" Type="http://schemas.openxmlformats.org/officeDocument/2006/relationships/hyperlink" Target="reports/archive-393766a70997" TargetMode="External"/><Relationship Id="rId25" Type="http://schemas.openxmlformats.org/officeDocument/2006/relationships/hyperlink" Target="reports/archive-0cbd9f979e8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Institute Daily Brief 2026-05-30</dc:title>
  <dc:subject>Daily investor research brief</dc:subject>
  <dc:creator>AI Institute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