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285B9D"/>
          <w:sz w:val="20"/>
        </w:rPr>
        <w:t>AI Institute</w:t>
      </w:r>
    </w:p>
    <w:p>
      <w:pPr>
        <w:pStyle w:val="Title"/>
        <w:spacing w:before="0" w:after="80" w:line="264" w:lineRule="auto"/>
      </w:pPr>
      <w:r>
        <w:rPr>
          <w:rFonts w:ascii="Calibri" w:hAnsi="Calibri" w:eastAsia="Arial Unicode MS"/>
          <w:b w:val="0"/>
          <w:i w:val="0"/>
        </w:rPr>
        <w:t>每日投资研究简报</w:t>
      </w:r>
    </w:p>
    <w:p>
      <w:pPr>
        <w:pStyle w:val="Subtitle"/>
        <w:spacing w:before="0" w:after="240" w:line="264" w:lineRule="auto"/>
      </w:pPr>
      <w:r>
        <w:rPr>
          <w:rFonts w:ascii="Calibri" w:hAnsi="Calibri" w:eastAsia="Arial Unicode MS"/>
          <w:b w:val="0"/>
          <w:i w:val="0"/>
        </w:rPr>
        <w:t>2026-07-18 · webpage screenshot DOCX edition</w:t>
      </w:r>
    </w:p>
    <w:p>
      <w:pPr>
        <w:spacing w:before="0" w:after="160" w:line="264" w:lineRule="auto"/>
      </w:pPr>
      <w:r>
        <w:rPr>
          <w:rFonts w:ascii="Calibri" w:hAnsi="Calibri" w:eastAsia="Arial Unicode MS"/>
          <w:b/>
          <w:i w:val="0"/>
          <w:color w:val="0B2545"/>
          <w:sz w:val="34"/>
        </w:rPr>
        <w:t>宏观通胀传导仍是今日主线，AI 基础设施提供第二层验证。</w:t>
      </w:r>
    </w:p>
    <w:p>
      <w:pPr>
        <w:spacing w:before="0" w:after="240" w:line="264" w:lineRule="auto"/>
      </w:pPr>
      <w:r>
        <w:rPr>
          <w:rFonts w:ascii="Calibri" w:hAnsi="Calibri" w:eastAsia="Arial Unicode MS"/>
          <w:b w:val="0"/>
          <w:i w:val="0"/>
          <w:color w:val="334155"/>
          <w:sz w:val="22"/>
        </w:rPr>
        <w:t>2026-07-18 共纳入 92 篇中文研究结果，覆盖 0 位活跃分析师和 5 条主要行业链，较 2026-07-17 的主题变化可在右侧动量表中核对。简报优先呈现可被报告链接追溯的结论，而不是孤立摘要。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Arial Unicode MS"/>
                <w:b/>
                <w:color w:val="667085"/>
                <w:sz w:val="17"/>
              </w:rPr>
              <w:t>今日报告</w:t>
              <w:br/>
            </w:r>
            <w:r>
              <w:rPr>
                <w:rFonts w:ascii="Calibri" w:hAnsi="Calibri" w:eastAsia="Arial Unicode MS"/>
                <w:b/>
                <w:color w:val="285B9D"/>
                <w:sz w:val="36"/>
              </w:rPr>
              <w:t>92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Arial Unicode MS"/>
                <w:b/>
                <w:color w:val="667085"/>
                <w:sz w:val="17"/>
              </w:rPr>
              <w:t>活跃分析师</w:t>
              <w:br/>
            </w:r>
            <w:r>
              <w:rPr>
                <w:rFonts w:ascii="Calibri" w:hAnsi="Calibri" w:eastAsia="Arial Unicode MS"/>
                <w:b/>
                <w:color w:val="237A5B"/>
                <w:sz w:val="36"/>
              </w:rPr>
              <w:t>0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Arial Unicode MS"/>
                <w:b/>
                <w:color w:val="667085"/>
                <w:sz w:val="17"/>
              </w:rPr>
              <w:t>活跃链条</w:t>
              <w:br/>
            </w:r>
            <w:r>
              <w:rPr>
                <w:rFonts w:ascii="Calibri" w:hAnsi="Calibri" w:eastAsia="Arial Unicode MS"/>
                <w:b/>
                <w:color w:val="A8731B"/>
                <w:sz w:val="36"/>
              </w:rPr>
              <w:t>5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Arial Unicode MS"/>
                <w:b/>
                <w:color w:val="667085"/>
                <w:sz w:val="17"/>
              </w:rPr>
              <w:t>风险信号</w:t>
              <w:br/>
            </w:r>
            <w:r>
              <w:rPr>
                <w:rFonts w:ascii="Calibri" w:hAnsi="Calibri" w:eastAsia="Arial Unicode MS"/>
                <w:b/>
                <w:color w:val="B43D49"/>
                <w:sz w:val="36"/>
              </w:rPr>
              <w:t>16</w:t>
            </w:r>
          </w:p>
        </w:tc>
      </w:tr>
    </w:tbl>
    <w:p>
      <w:pPr>
        <w:spacing w:before="0" w:after="160" w:line="264" w:lineRule="auto"/>
      </w:pP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18-web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Arial Unicode MS"/>
          <w:b w:val="0"/>
          <w:i/>
          <w:color w:val="667085"/>
          <w:sz w:val="17"/>
        </w:rPr>
        <w:t>Figure 1. Webpage snapshot of the daily synthesis and key operating metrics.</w:t>
      </w:r>
    </w:p>
    <w:p>
      <w:pPr>
        <w:pStyle w:val="Heading1"/>
      </w:pPr>
      <w:r>
        <w:t>1. 综合研判</w:t>
      </w:r>
    </w:p>
    <w:p>
      <w:pPr>
        <w:spacing w:after="140"/>
        <w:ind w:left="259" w:hanging="259"/>
      </w:pPr>
      <w:r>
        <w:rPr>
          <w:rFonts w:ascii="Calibri" w:hAnsi="Calibri" w:eastAsia="Arial Unicode MS"/>
          <w:b/>
          <w:color w:val="285B9D"/>
          <w:sz w:val="21"/>
        </w:rPr>
        <w:t xml:space="preserve">主线判断: </w:t>
      </w:r>
      <w:hyperlink r:id="rId12">
        <w:r>
          <w:rPr>
            <w:color w:val="285B9D"/>
            <w:u w:val="single"/>
            <w:rFonts w:eastAsia="Arial Unicode MS" w:ascii="Calibri" w:hAnsi="Calibri"/>
          </w:rPr>
          <w:t>AI 电力瓶颈租金由谁捕获、成本由谁承担？ 是今日最高权重结论，核心证据来自 未识别，关联 AI 基础设施。</w:t>
        </w:r>
      </w:hyperlink>
    </w:p>
    <w:p>
      <w:pPr>
        <w:spacing w:after="140"/>
        <w:ind w:left="259" w:hanging="259"/>
      </w:pPr>
      <w:r>
        <w:rPr>
          <w:rFonts w:ascii="Calibri" w:hAnsi="Calibri" w:eastAsia="Arial Unicode MS"/>
          <w:b/>
          <w:color w:val="285B9D"/>
          <w:sz w:val="21"/>
        </w:rPr>
        <w:t xml:space="preserve">变化信号: </w:t>
      </w:r>
      <w:r>
        <w:rPr>
          <w:rFonts w:ascii="Calibri" w:hAnsi="Calibri" w:eastAsia="Arial Unicode MS"/>
          <w:color w:val="111827"/>
          <w:sz w:val="21"/>
        </w:rPr>
        <w:t>通胀 今日 降温，当日计数 83，前一日计数 293。</w:t>
      </w:r>
    </w:p>
    <w:p>
      <w:pPr>
        <w:spacing w:after="140"/>
        <w:ind w:left="259" w:hanging="259"/>
      </w:pPr>
      <w:r>
        <w:rPr>
          <w:rFonts w:ascii="Calibri" w:hAnsi="Calibri" w:eastAsia="Arial Unicode MS"/>
          <w:b/>
          <w:color w:val="285B9D"/>
          <w:sz w:val="21"/>
        </w:rPr>
        <w:t xml:space="preserve">风险焦点: </w:t>
      </w:r>
      <w:hyperlink r:id="rId13">
        <w:r>
          <w:rPr>
            <w:color w:val="285B9D"/>
            <w:u w:val="single"/>
            <w:rFonts w:eastAsia="Arial Unicode MS" w:ascii="Calibri" w:hAnsi="Calibri"/>
          </w:rPr>
          <w:t>风险矩阵最需要跟踪的是 AI 基础设施：挑战："Exit code 0"。</w:t>
        </w:r>
      </w:hyperlink>
    </w:p>
    <w:p>
      <w:pPr>
        <w:spacing w:after="140"/>
        <w:ind w:left="259" w:hanging="259"/>
      </w:pPr>
      <w:r>
        <w:rPr>
          <w:rFonts w:ascii="Calibri" w:hAnsi="Calibri" w:eastAsia="Arial Unicode MS"/>
          <w:b/>
          <w:color w:val="285B9D"/>
          <w:sz w:val="21"/>
        </w:rPr>
        <w:t xml:space="preserve">证据密度: </w:t>
      </w:r>
      <w:hyperlink r:id="rId14">
        <w:r>
          <w:rPr>
            <w:color w:val="285B9D"/>
            <w:u w:val="single"/>
            <w:rFonts w:eastAsia="Arial Unicode MS" w:ascii="Calibri" w:hAnsi="Calibri"/>
          </w:rPr>
          <w:t>宏观通胀传导 今日 86 条、近七日 1415 条，风险信号 883 条。</w:t>
        </w:r>
      </w:hyperlink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FF7E6"/>
          </w:tcPr>
          <w:p>
            <w:r>
              <w:rPr>
                <w:rFonts w:ascii="Calibri" w:hAnsi="Calibri" w:eastAsia="Arial Unicode MS"/>
                <w:b/>
                <w:color w:val="7A5A00"/>
                <w:sz w:val="21"/>
              </w:rPr>
              <w:t xml:space="preserve">投资解读: </w:t>
            </w:r>
            <w:r>
              <w:rPr>
                <w:rFonts w:ascii="Calibri" w:hAnsi="Calibri" w:eastAsia="Arial Unicode MS"/>
                <w:color w:val="7C2D12"/>
                <w:sz w:val="21"/>
              </w:rPr>
              <w:t>投资含义上，本日简报更适合作为主题和风险筛选器：先看行业链雷达确认资金关注方向，再用风险矩阵排除证据不足或约束过强的交易表达。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</w:pPr>
      <w:r>
        <w:t>2. 可视化仪表板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18-web-tren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Arial Unicode MS"/>
          <w:b w:val="0"/>
          <w:i/>
          <w:color w:val="667085"/>
          <w:sz w:val="17"/>
        </w:rPr>
        <w:t>Figure 2. Webpage snapshot of topic momentum and daily change signals.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18-web-chai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Arial Unicode MS"/>
          <w:b w:val="0"/>
          <w:i/>
          <w:color w:val="667085"/>
          <w:sz w:val="17"/>
        </w:rPr>
        <w:t>Figure 3. Webpage snapshot of industry-chain heat and evidence links.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18-web-ri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Arial Unicode MS"/>
          <w:b w:val="0"/>
          <w:i/>
          <w:color w:val="667085"/>
          <w:sz w:val="17"/>
        </w:rPr>
        <w:t>Figure 4. Webpage snapshot of the risk matrix and pressure-test items.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18-web-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Arial Unicode MS"/>
          <w:b w:val="0"/>
          <w:i/>
          <w:color w:val="667085"/>
          <w:sz w:val="17"/>
        </w:rPr>
        <w:t>Figure 5. Webpage snapshot of analyst activity and ranked conclusions.</w:t>
      </w:r>
    </w:p>
    <w:p>
      <w:pPr>
        <w:pStyle w:val="Heading1"/>
      </w:pPr>
      <w:r>
        <w:t>3. 今日核心结论</w:t>
      </w:r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B2545"/>
          <w:sz w:val="23"/>
        </w:rPr>
        <w:t>1. AI 电力瓶颈租金由谁捕获、成本由谁承担？</w:t>
      </w:r>
    </w:p>
    <w:p>
      <w:pPr>
        <w:spacing w:before="0" w:after="40" w:line="264" w:lineRule="auto"/>
      </w:pPr>
      <w:r>
        <w:rPr>
          <w:rFonts w:ascii="Calibri" w:hAnsi="Calibri" w:eastAsia="Arial Unicode MS"/>
          <w:b w:val="0"/>
          <w:i w:val="0"/>
          <w:color w:val="667085"/>
          <w:sz w:val="17"/>
        </w:rPr>
        <w:t>未识别 · AI 基础设施 · score 47.7</w:t>
      </w:r>
    </w:p>
    <w:p>
      <w:pPr>
        <w:spacing w:before="0" w:after="100" w:line="264" w:lineRule="auto"/>
      </w:pPr>
      <w:r>
        <w:rPr>
          <w:rFonts w:ascii="Calibri" w:hAnsi="Calibri" w:eastAsia="Arial Unicode MS"/>
          <w:b w:val="0"/>
          <w:i w:val="0"/>
          <w:color w:val="334155"/>
          <w:sz w:val="20"/>
        </w:rPr>
        <w:t>研究记录 · 分析师： 公用事业分析师 · 立场： 综合（synthesize） 工作日期（Asia/Singapore）： 2026-07-18 根主题： AI Capex 路径分化——从芯片驱动到内制芯片与计算租赁的交易架构 本报...</w:t>
      </w:r>
    </w:p>
    <w:p>
      <w:pPr>
        <w:spacing w:before="0" w:after="160" w:line="264" w:lineRule="auto"/>
      </w:pPr>
      <w:r>
        <w:rPr>
          <w:rFonts w:ascii="Calibri" w:hAnsi="Calibri" w:eastAsia="Arial Unicode MS"/>
          <w:b w:val="0"/>
          <w:i w:val="0"/>
          <w:color w:val="667085"/>
          <w:sz w:val="17"/>
        </w:rPr>
        <w:t xml:space="preserve">Report: </w:t>
      </w:r>
      <w:hyperlink r:id="rId12">
        <w:r>
          <w:rPr>
            <w:color w:val="285B9D"/>
            <w:u w:val="single"/>
            <w:rFonts w:eastAsia="Arial Unicode MS" w:ascii="Calibri" w:hAnsi="Calibri"/>
          </w:rPr>
          <w:t>reports/archive-2b1708473d38</w:t>
        </w:r>
      </w:hyperlink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B2545"/>
          <w:sz w:val="23"/>
        </w:rPr>
        <w:t>2. 2026-07-18｜AI基础设施压力测试：capex、GPU集群利用率与电力约束</w:t>
      </w:r>
    </w:p>
    <w:p>
      <w:pPr>
        <w:spacing w:before="0" w:after="40" w:line="264" w:lineRule="auto"/>
      </w:pPr>
      <w:r>
        <w:rPr>
          <w:rFonts w:ascii="Calibri" w:hAnsi="Calibri" w:eastAsia="Arial Unicode MS"/>
          <w:b w:val="0"/>
          <w:i w:val="0"/>
          <w:color w:val="667085"/>
          <w:sz w:val="17"/>
        </w:rPr>
        <w:t>未识别 · AI 基础设施 · score 46.9</w:t>
      </w:r>
    </w:p>
    <w:p>
      <w:pPr>
        <w:spacing w:before="0" w:after="100" w:line="264" w:lineRule="auto"/>
      </w:pPr>
      <w:r>
        <w:rPr>
          <w:rFonts w:ascii="Calibri" w:hAnsi="Calibri" w:eastAsia="Arial Unicode MS"/>
          <w:b w:val="0"/>
          <w:i w:val="0"/>
          <w:color w:val="334155"/>
          <w:sz w:val="20"/>
        </w:rPr>
        <w:t>2026-07-18｜AI基础设施压力测试：capex、GPU集群利用率与电力约束</w:t>
      </w:r>
    </w:p>
    <w:p>
      <w:pPr>
        <w:spacing w:before="0" w:after="160" w:line="264" w:lineRule="auto"/>
      </w:pPr>
      <w:r>
        <w:rPr>
          <w:rFonts w:ascii="Calibri" w:hAnsi="Calibri" w:eastAsia="Arial Unicode MS"/>
          <w:b w:val="0"/>
          <w:i w:val="0"/>
          <w:color w:val="667085"/>
          <w:sz w:val="17"/>
        </w:rPr>
        <w:t xml:space="preserve">Report: </w:t>
      </w:r>
      <w:hyperlink r:id="rId19">
        <w:r>
          <w:rPr>
            <w:color w:val="285B9D"/>
            <w:u w:val="single"/>
            <w:rFonts w:eastAsia="Arial Unicode MS" w:ascii="Calibri" w:hAnsi="Calibri"/>
          </w:rPr>
          <w:t>reports/archive-5fd507219068</w:t>
        </w:r>
      </w:hyperlink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B2545"/>
          <w:sz w:val="23"/>
        </w:rPr>
        <w:t>3. 自备电源只是把 time-to-power 瓶颈搬家，并没有消除它</w:t>
      </w:r>
    </w:p>
    <w:p>
      <w:pPr>
        <w:spacing w:before="0" w:after="40" w:line="264" w:lineRule="auto"/>
      </w:pPr>
      <w:r>
        <w:rPr>
          <w:rFonts w:ascii="Calibri" w:hAnsi="Calibri" w:eastAsia="Arial Unicode MS"/>
          <w:b w:val="0"/>
          <w:i w:val="0"/>
          <w:color w:val="667085"/>
          <w:sz w:val="17"/>
        </w:rPr>
        <w:t>未识别 · 宏观通胀传导 · score 45.1</w:t>
      </w:r>
    </w:p>
    <w:p>
      <w:pPr>
        <w:spacing w:before="0" w:after="100" w:line="264" w:lineRule="auto"/>
      </w:pPr>
      <w:r>
        <w:rPr>
          <w:rFonts w:ascii="Calibri" w:hAnsi="Calibri" w:eastAsia="Arial Unicode MS"/>
          <w:b w:val="0"/>
          <w:i w:val="0"/>
          <w:color w:val="334155"/>
          <w:sz w:val="20"/>
        </w:rPr>
        <w:t>研究记录 - 分析师： 能源行业分析师（energy-analyst） - 工作日期（Asia/Singapore）： 2026-07-18 - 立场： 支持（SUPPORT，延伸并收紧研究记录 03 的判断） - 根主题： AI 电力瓶颈链取代纯...</w:t>
      </w:r>
    </w:p>
    <w:p>
      <w:pPr>
        <w:spacing w:before="0" w:after="160" w:line="264" w:lineRule="auto"/>
      </w:pPr>
      <w:r>
        <w:rPr>
          <w:rFonts w:ascii="Calibri" w:hAnsi="Calibri" w:eastAsia="Arial Unicode MS"/>
          <w:b w:val="0"/>
          <w:i w:val="0"/>
          <w:color w:val="667085"/>
          <w:sz w:val="17"/>
        </w:rPr>
        <w:t xml:space="preserve">Report: </w:t>
      </w:r>
      <w:hyperlink r:id="rId20">
        <w:r>
          <w:rPr>
            <w:color w:val="285B9D"/>
            <w:u w:val="single"/>
            <w:rFonts w:eastAsia="Arial Unicode MS" w:ascii="Calibri" w:hAnsi="Calibri"/>
          </w:rPr>
          <w:t>reports/archive-a18cc6271319</w:t>
        </w:r>
      </w:hyperlink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B2545"/>
          <w:sz w:val="23"/>
        </w:rPr>
        <w:t>4. 电力与电网瓶颈已成为 AI 算力的稀缺期权 - 工作日 2026-07-18</w:t>
      </w:r>
    </w:p>
    <w:p>
      <w:pPr>
        <w:spacing w:before="0" w:after="40" w:line="264" w:lineRule="auto"/>
      </w:pPr>
      <w:r>
        <w:rPr>
          <w:rFonts w:ascii="Calibri" w:hAnsi="Calibri" w:eastAsia="Arial Unicode MS"/>
          <w:b w:val="0"/>
          <w:i w:val="0"/>
          <w:color w:val="667085"/>
          <w:sz w:val="17"/>
        </w:rPr>
        <w:t>未识别 · AI 基础设施 · score 44.8</w:t>
      </w:r>
    </w:p>
    <w:p>
      <w:pPr>
        <w:spacing w:before="0" w:after="100" w:line="264" w:lineRule="auto"/>
      </w:pPr>
      <w:r>
        <w:rPr>
          <w:rFonts w:ascii="Calibri" w:hAnsi="Calibri" w:eastAsia="Arial Unicode MS"/>
          <w:b w:val="0"/>
          <w:i w:val="0"/>
          <w:color w:val="334155"/>
          <w:sz w:val="20"/>
        </w:rPr>
        <w:t>电力与电网瓶颈已成为 AI 算力的稀缺期权 - 工作日 2026-07-18</w:t>
      </w:r>
    </w:p>
    <w:p>
      <w:pPr>
        <w:spacing w:before="0" w:after="160" w:line="264" w:lineRule="auto"/>
      </w:pPr>
      <w:r>
        <w:rPr>
          <w:rFonts w:ascii="Calibri" w:hAnsi="Calibri" w:eastAsia="Arial Unicode MS"/>
          <w:b w:val="0"/>
          <w:i w:val="0"/>
          <w:color w:val="667085"/>
          <w:sz w:val="17"/>
        </w:rPr>
        <w:t xml:space="preserve">Report: </w:t>
      </w:r>
      <w:hyperlink r:id="rId21">
        <w:r>
          <w:rPr>
            <w:color w:val="285B9D"/>
            <w:u w:val="single"/>
            <w:rFonts w:eastAsia="Arial Unicode MS" w:ascii="Calibri" w:hAnsi="Calibri"/>
          </w:rPr>
          <w:t>reports/archive-1e9f3da9f615</w:t>
        </w:r>
      </w:hyperlink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B2545"/>
          <w:sz w:val="23"/>
        </w:rPr>
        <w:t>5. research discussion Session Brief</w:t>
      </w:r>
    </w:p>
    <w:p>
      <w:pPr>
        <w:spacing w:before="0" w:after="40" w:line="264" w:lineRule="auto"/>
      </w:pPr>
      <w:r>
        <w:rPr>
          <w:rFonts w:ascii="Calibri" w:hAnsi="Calibri" w:eastAsia="Arial Unicode MS"/>
          <w:b w:val="0"/>
          <w:i w:val="0"/>
          <w:color w:val="667085"/>
          <w:sz w:val="17"/>
        </w:rPr>
        <w:t>未识别 · 宏观通胀传导 · score 44.7</w:t>
      </w:r>
    </w:p>
    <w:p>
      <w:pPr>
        <w:spacing w:before="0" w:after="100" w:line="264" w:lineRule="auto"/>
      </w:pPr>
      <w:r>
        <w:rPr>
          <w:rFonts w:ascii="Calibri" w:hAnsi="Calibri" w:eastAsia="Arial Unicode MS"/>
          <w:b w:val="0"/>
          <w:i w:val="0"/>
          <w:color w:val="334155"/>
          <w:sz w:val="20"/>
        </w:rPr>
        <w:t>Board ID: c23e6a37-c2b8-442c-ad95-2078e3f29c48 - Shared Agent Route session: 79eaca48-4fa9-471e-b5fc-eb8c4fe251c8 - Root topic: AI 芯片产业链的风险重估 - Current card index: 8/8 -...</w:t>
      </w:r>
    </w:p>
    <w:p>
      <w:pPr>
        <w:spacing w:before="0" w:after="160" w:line="264" w:lineRule="auto"/>
      </w:pPr>
      <w:r>
        <w:rPr>
          <w:rFonts w:ascii="Calibri" w:hAnsi="Calibri" w:eastAsia="Arial Unicode MS"/>
          <w:b w:val="0"/>
          <w:i w:val="0"/>
          <w:color w:val="667085"/>
          <w:sz w:val="17"/>
        </w:rPr>
        <w:t xml:space="preserve">Report: </w:t>
      </w:r>
      <w:hyperlink r:id="rId22">
        <w:r>
          <w:rPr>
            <w:color w:val="285B9D"/>
            <w:u w:val="single"/>
            <w:rFonts w:eastAsia="Arial Unicode MS" w:ascii="Calibri" w:hAnsi="Calibri"/>
          </w:rPr>
          <w:t>reports/archive-b2ac921675b5</w:t>
        </w:r>
      </w:hyperlink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B2545"/>
          <w:sz w:val="23"/>
        </w:rPr>
        <w:t>6. 2026-07-18：+600 bps AI电力篮子的因子与拥挤度监控</w:t>
      </w:r>
    </w:p>
    <w:p>
      <w:pPr>
        <w:spacing w:before="0" w:after="40" w:line="264" w:lineRule="auto"/>
      </w:pPr>
      <w:r>
        <w:rPr>
          <w:rFonts w:ascii="Calibri" w:hAnsi="Calibri" w:eastAsia="Arial Unicode MS"/>
          <w:b w:val="0"/>
          <w:i w:val="0"/>
          <w:color w:val="667085"/>
          <w:sz w:val="17"/>
        </w:rPr>
        <w:t>未识别 · 宏观通胀传导 · score 43.9</w:t>
      </w:r>
    </w:p>
    <w:p>
      <w:pPr>
        <w:spacing w:before="0" w:after="100" w:line="264" w:lineRule="auto"/>
      </w:pPr>
      <w:r>
        <w:rPr>
          <w:rFonts w:ascii="Calibri" w:hAnsi="Calibri" w:eastAsia="Arial Unicode MS"/>
          <w:b w:val="0"/>
          <w:i w:val="0"/>
          <w:color w:val="334155"/>
          <w:sz w:val="20"/>
        </w:rPr>
        <w:t>截至2026-07-18（Asia/Singapore）， date +%Y-%m-%d 返回 2026-07-18，因此本报告以2026-07-18作为权威工作日。 [自测算: shell 命令 date +%Y-%m-%d 返回2026-07-18] 现场工作区缺少 session-...</w:t>
      </w:r>
    </w:p>
    <w:p>
      <w:pPr>
        <w:spacing w:before="0" w:after="160" w:line="264" w:lineRule="auto"/>
      </w:pPr>
      <w:r>
        <w:rPr>
          <w:rFonts w:ascii="Calibri" w:hAnsi="Calibri" w:eastAsia="Arial Unicode MS"/>
          <w:b w:val="0"/>
          <w:i w:val="0"/>
          <w:color w:val="667085"/>
          <w:sz w:val="17"/>
        </w:rPr>
        <w:t xml:space="preserve">Report: </w:t>
      </w:r>
      <w:hyperlink r:id="rId23">
        <w:r>
          <w:rPr>
            <w:color w:val="285B9D"/>
            <w:u w:val="single"/>
            <w:rFonts w:eastAsia="Arial Unicode MS" w:ascii="Calibri" w:hAnsi="Calibri"/>
          </w:rPr>
          <w:t>reports/archive-c2ebdfb52193</w:t>
        </w:r>
      </w:hyperlink>
    </w:p>
    <w:p>
      <w:pPr>
        <w:pStyle w:val="Heading1"/>
      </w:pPr>
      <w:r>
        <w:t>4. 重点跟踪事项</w:t>
      </w:r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B2545"/>
          <w:sz w:val="22"/>
        </w:rPr>
        <w:t>挑战："Exit code 0"</w:t>
      </w:r>
    </w:p>
    <w:p>
      <w:pPr>
        <w:spacing w:before="0" w:after="60" w:line="264" w:lineRule="auto"/>
      </w:pPr>
      <w:r>
        <w:rPr>
          <w:rFonts w:ascii="Calibri" w:hAnsi="Calibri" w:eastAsia="Arial Unicode MS"/>
          <w:b w:val="0"/>
          <w:i w:val="0"/>
          <w:color w:val="334155"/>
          <w:sz w:val="20"/>
        </w:rPr>
        <w:t>AI 基础设施，影响 5 / 概率 4</w:t>
      </w:r>
    </w:p>
    <w:p>
      <w:pPr>
        <w:spacing w:before="0" w:after="160" w:line="264" w:lineRule="auto"/>
      </w:pPr>
      <w:r>
        <w:rPr>
          <w:rFonts w:ascii="Calibri" w:hAnsi="Calibri" w:eastAsia="Arial Unicode MS"/>
          <w:b w:val="0"/>
          <w:i w:val="0"/>
          <w:color w:val="667085"/>
          <w:sz w:val="17"/>
        </w:rPr>
        <w:t xml:space="preserve">Report: </w:t>
      </w:r>
      <w:hyperlink r:id="rId13">
        <w:r>
          <w:rPr>
            <w:color w:val="285B9D"/>
            <w:u w:val="single"/>
            <w:rFonts w:eastAsia="Arial Unicode MS" w:ascii="Calibri" w:hAnsi="Calibri"/>
          </w:rPr>
          <w:t>reports/archive-349ffb9e27d6</w:t>
        </w:r>
      </w:hyperlink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B2545"/>
          <w:sz w:val="22"/>
        </w:rPr>
        <w:t>国产HBM先进封装材料良率瓶颈与TSMC先进制程价格壁垒下的硬科技估值底线重估</w:t>
      </w:r>
    </w:p>
    <w:p>
      <w:pPr>
        <w:spacing w:before="0" w:after="60" w:line="264" w:lineRule="auto"/>
      </w:pPr>
      <w:r>
        <w:rPr>
          <w:rFonts w:ascii="Calibri" w:hAnsi="Calibri" w:eastAsia="Arial Unicode MS"/>
          <w:b w:val="0"/>
          <w:i w:val="0"/>
          <w:color w:val="334155"/>
          <w:sz w:val="20"/>
        </w:rPr>
        <w:t>半导体与存储，影响 5 / 概率 2</w:t>
      </w:r>
    </w:p>
    <w:p>
      <w:pPr>
        <w:spacing w:before="0" w:after="160" w:line="264" w:lineRule="auto"/>
      </w:pPr>
      <w:r>
        <w:rPr>
          <w:rFonts w:ascii="Calibri" w:hAnsi="Calibri" w:eastAsia="Arial Unicode MS"/>
          <w:b w:val="0"/>
          <w:i w:val="0"/>
          <w:color w:val="667085"/>
          <w:sz w:val="17"/>
        </w:rPr>
        <w:t xml:space="preserve">Report: </w:t>
      </w:r>
      <w:hyperlink r:id="rId24">
        <w:r>
          <w:rPr>
            <w:color w:val="285B9D"/>
            <w:u w:val="single"/>
            <w:rFonts w:eastAsia="Arial Unicode MS" w:ascii="Calibri" w:hAnsi="Calibri"/>
          </w:rPr>
          <w:t>reports/archive-0b2a1e542de3</w:t>
        </w:r>
      </w:hyperlink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B2545"/>
          <w:sz w:val="22"/>
        </w:rPr>
        <w:t>电网设备与大型电力变压器（LPT）OEM：约18亿美元扩产能否在2028年前填平缺口，还是结构性稀缺把多...</w:t>
      </w:r>
    </w:p>
    <w:p>
      <w:pPr>
        <w:spacing w:before="0" w:after="60" w:line="264" w:lineRule="auto"/>
      </w:pPr>
      <w:r>
        <w:rPr>
          <w:rFonts w:ascii="Calibri" w:hAnsi="Calibri" w:eastAsia="Arial Unicode MS"/>
          <w:b w:val="0"/>
          <w:i w:val="0"/>
          <w:color w:val="334155"/>
          <w:sz w:val="20"/>
        </w:rPr>
        <w:t>电力与电网，影响 5 / 概率 3</w:t>
      </w:r>
    </w:p>
    <w:p>
      <w:pPr>
        <w:spacing w:before="0" w:after="160" w:line="264" w:lineRule="auto"/>
      </w:pPr>
      <w:r>
        <w:rPr>
          <w:rFonts w:ascii="Calibri" w:hAnsi="Calibri" w:eastAsia="Arial Unicode MS"/>
          <w:b w:val="0"/>
          <w:i w:val="0"/>
          <w:color w:val="667085"/>
          <w:sz w:val="17"/>
        </w:rPr>
        <w:t xml:space="preserve">Report: </w:t>
      </w:r>
      <w:hyperlink r:id="rId25">
        <w:r>
          <w:rPr>
            <w:color w:val="285B9D"/>
            <w:u w:val="single"/>
            <w:rFonts w:eastAsia="Arial Unicode MS" w:ascii="Calibri" w:hAnsi="Calibri"/>
          </w:rPr>
          <w:t>reports/archive-623f725af36d</w:t>
        </w:r>
      </w:hyperlink>
    </w:p>
    <w:p>
      <w:pPr>
        <w:pStyle w:val="Heading1"/>
      </w:pPr>
      <w:r>
        <w:t>5. 证据表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720"/>
        <w:gridCol w:w="1560"/>
        <w:gridCol w:w="1680"/>
        <w:gridCol w:w="900"/>
        <w:gridCol w:w="1500"/>
      </w:tblGrid>
      <w:tr>
        <w:tc>
          <w:tcPr>
            <w:tcW w:type="dxa" w:w="372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475569"/>
                <w:sz w:val="18"/>
              </w:rPr>
              <w:t>报告</w:t>
            </w:r>
          </w:p>
        </w:tc>
        <w:tc>
          <w:tcPr>
            <w:tcW w:type="dxa" w:w="156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475569"/>
                <w:sz w:val="18"/>
              </w:rPr>
              <w:t>分析师</w:t>
            </w:r>
          </w:p>
        </w:tc>
        <w:tc>
          <w:tcPr>
            <w:tcW w:type="dxa" w:w="168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475569"/>
                <w:sz w:val="18"/>
              </w:rPr>
              <w:t>行业链</w:t>
            </w:r>
          </w:p>
        </w:tc>
        <w:tc>
          <w:tcPr>
            <w:tcW w:type="dxa" w:w="9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475569"/>
                <w:sz w:val="18"/>
              </w:rPr>
              <w:t>评分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475569"/>
                <w:sz w:val="18"/>
              </w:rPr>
              <w:t>风险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AI 电力瓶颈租金由谁捕获、成本由谁承担？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47.7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2026-07-18｜AI基础设施压力测试：capex、GPU集群利用率与电力约束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46.9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自备电源只是把 time-to-power 瓶颈搬家，并没有消除它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45.1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电力与电网瓶颈已成为 AI 算力的稀缺期权 - 工作日 2026-07-18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44.8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research discussion Session Brief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44.7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2026-07-18：+600 bps AI电力篮子的因子与拥挤度监控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43.9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AI 芯片风险降档后的跨资产杠铃配置 - 2026-07-18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半导体与存储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43.5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截至2026-07-18的AI电力电网稀缺A股最终篮子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电力与电网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42.9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能源冲击、美元走强与亚洲央行的政策边界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42.8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压力测试13%火电灵活性仓位：容量电价、辅助服务、煤价传导，还是迁往受监管公用事业/高股息防御？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42.3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AI硬件卖压外溢至亚洲半导体开盘 — 2026-07-18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42.2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2026-07-18：维持20% AI电力封顶下的A股再平衡规则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41.9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外汇防御与两融去杠杆共振下的A股防线排序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41.7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A股AI电力袖珍组合的宏观闭环：国内负荷是否真实，容量电价传导是否印证通胀粘性哑铃？ — 工作日...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电力与电网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41.1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2026-07-18：4 单位 AI 芯片看跌价差腿的事件窗口执行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41.1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AI电力瓶颈租金配置 - 工作日 2026-07-18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41.0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AI 芯片产业链风险重估 — 2026-07-18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41.0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7"/>
              </w:rPr>
              <w:t>2026-07-18 首席策略师 最终跨资产与A股配置定盘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/>
                <w:color w:val="111827"/>
                <w:sz w:val="17"/>
              </w:rPr>
              <w:t>41.0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Arial Unicode MS"/>
                <w:b w:val="0"/>
                <w:color w:val="111827"/>
                <w:sz w:val="16"/>
              </w:rPr>
              <w:t>常规</w:t>
            </w:r>
          </w:p>
        </w:tc>
      </w:tr>
    </w:tbl>
    <w:p>
      <w:pPr>
        <w:spacing w:before="0" w:after="160" w:line="264" w:lineRule="auto"/>
      </w:pPr>
      <w:r>
        <w:rPr>
          <w:rFonts w:ascii="Calibri" w:hAnsi="Calibri" w:eastAsia="Arial Unicode MS"/>
          <w:b w:val="0"/>
          <w:i/>
          <w:color w:val="667085"/>
          <w:sz w:val="17"/>
        </w:rPr>
        <w:t>Table 1. Evidence table excerpt. Full evidence remains available in the interactive daily brief.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Arial Unicode MS"/>
        <w:color w:val="667085"/>
        <w:sz w:val="17"/>
      </w:rPr>
      <w:t>Generated from local AI Institute archive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 w:eastAsia="Arial Unicode MS"/>
        <w:color w:val="667085"/>
        <w:sz w:val="18"/>
      </w:rPr>
      <w:t>AI Institute Daily Investor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Arial Unicode MS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Arial Unicode MS"/>
      <w:b w:val="0"/>
      <w:i/>
      <w:iCs/>
      <w:color w:val="4755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reports/archive-2b1708473d38" TargetMode="External"/><Relationship Id="rId13" Type="http://schemas.openxmlformats.org/officeDocument/2006/relationships/hyperlink" Target="reports/archive-349ffb9e27d6" TargetMode="External"/><Relationship Id="rId14" Type="http://schemas.openxmlformats.org/officeDocument/2006/relationships/hyperlink" Target="reports/archive-dda9f9e00532" TargetMode="Externa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hyperlink" Target="reports/archive-5fd507219068" TargetMode="External"/><Relationship Id="rId20" Type="http://schemas.openxmlformats.org/officeDocument/2006/relationships/hyperlink" Target="reports/archive-a18cc6271319" TargetMode="External"/><Relationship Id="rId21" Type="http://schemas.openxmlformats.org/officeDocument/2006/relationships/hyperlink" Target="reports/archive-1e9f3da9f615" TargetMode="External"/><Relationship Id="rId22" Type="http://schemas.openxmlformats.org/officeDocument/2006/relationships/hyperlink" Target="reports/archive-b2ac921675b5" TargetMode="External"/><Relationship Id="rId23" Type="http://schemas.openxmlformats.org/officeDocument/2006/relationships/hyperlink" Target="reports/archive-c2ebdfb52193" TargetMode="External"/><Relationship Id="rId24" Type="http://schemas.openxmlformats.org/officeDocument/2006/relationships/hyperlink" Target="reports/archive-0b2a1e542de3" TargetMode="External"/><Relationship Id="rId25" Type="http://schemas.openxmlformats.org/officeDocument/2006/relationships/hyperlink" Target="reports/archive-623f725af36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Institute Daily Brief 2026-07-18</dc:title>
  <dc:subject>Daily investor research brief</dc:subject>
  <dc:creator>AI Institute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