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2026-W29 周报综合｜六项决策均为 HOLD，验证重点从叙事热度转向兑现约束</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2026-W29</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2026-07-12 → 2026-07-18</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weekly_close · REV 9</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67</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本周六项 deterministic calls 均维持 HOLD：AI 主线尚未出现订单崩塌的确认，但资本回报、电力供给和自由现金流约束上升；A股杠铃也须等待资金与价格共同确认，具体依据见各条目的 sourceHrefs。</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决策先行：六项 call 全部保持 HOLD，不因研究密度高而推断价格、资金流或基本面已经改善。AI 算力的核心变化不是需求叙事消失，而是验证门槛从名义资本开支收紧到订单、利用率、已通电容量、产品结构和自由现金流；因此半导体、Mag7、软件效率及低价模型均适合观察或配对验证，不适合篮子式追逐。A股方面，低折现率仍给红利端提供条件性支撑，但红利拥挤、成长去杠杆和流动性承接能力共同限制杠铃的可执行性。由于 priorWeek 不可用，本期是 standing theses 与本周新证据之间的基线版比较，不声称周环比升级；marketQuoteRows 为 0，全文不提供最新价格、涨跌幅或已发生资金流判断。</w:t>
      </w:r>
    </w:p>
    <w:p>
      <w:pPr>
        <w:keepLines/>
      </w:pPr>
      <w:r>
        <w:rPr>
          <w:rFonts w:ascii="Calibri" w:hAnsi="Calibri" w:eastAsia="Hiragino Sans GB"/>
          <w:b w:val="0"/>
          <w:color w:val="5E6268"/>
          <w:sz w:val="22"/>
        </w:rPr>
        <w:t>本周最重要的编辑结论是：研究重点已经从“AI是否仍热”转向“投入能否变成已通电算力、可持续收入和自由现金流”，从“A股杠铃是否合理”转向“资金与价格是否允许执行”。在这些可观察信号完成验证前，六项HOLD均应按原定driver与invalidation管理。由于本期是无priorWeek的基线版且没有市场报价数据，任何增配都必须等待新增证据与价格确认，而不能由报告数量代替。本报告为研究综合，不构成投资建议，不承诺任何收益。</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AI 软件效率/生产率</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7">
              <w:r>
                <w:rPr>
                  <w:color w:val="1D5FD1"/>
                  <w:u w:val="single"/>
                  <w:b/>
                  <w:sz w:val="17"/>
                  <w:szCs w:val="17"/>
                  <w:rFonts w:ascii="Calibri" w:hAnsi="Calibri" w:eastAsia="Hiragino Sans GB"/>
                </w:rPr>
                <w:t>低价模型/AI 软件利润池</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HOLD｜A股红利/硬科技杠铃：等待资金与价格共同确认</w:t>
      </w:r>
    </w:p>
    <w:p>
      <w:pPr>
        <w:keepLines/>
      </w:pPr>
      <w:r>
        <w:rPr>
          <w:rFonts w:ascii="Calibri" w:hAnsi="Calibri" w:eastAsia="Hiragino Sans GB"/>
          <w:b w:val="0"/>
          <w:color w:val="111111"/>
          <w:sz w:val="22"/>
        </w:rPr>
        <w:t>确定性 driver 保持原文：“观察等待：先放入观察池，只在证据密度和价格确认同时改善时进入组合。”本周证据一面支持低折现率环境下的红利定价，另一面指出红利地板并非无限、成长去杠杆也可能同时压制杠铃两端；因此研究逻辑仍成立，但尚不足以转化为增配。</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继续作为观察池管理，红利端偏向现金流和分红可持续性，硬科技端偏向订单、产品竞争力与自由现金流可验证性；在融资余额、ETF申赎、北向资金及价格确认形成合力前，不扩大组合风险预算。</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18">
        <w:r>
          <w:rPr>
            <w:color w:val="1D5FD1"/>
            <w:u w:val="single"/>
            <w:sz w:val="17"/>
            <w:szCs w:val="17"/>
            <w:rFonts w:ascii="Calibri" w:hAnsi="Calibri" w:eastAsia="Hiragino Sans GB"/>
          </w:rPr>
          <w:t>R1</w:t>
        </w:r>
      </w:hyperlink>
      <w:r>
        <w:t xml:space="preserve"> · </w:t>
      </w:r>
      <w:hyperlink r:id="rId19">
        <w:r>
          <w:rPr>
            <w:color w:val="1D5FD1"/>
            <w:u w:val="single"/>
            <w:sz w:val="17"/>
            <w:szCs w:val="17"/>
            <w:rFonts w:ascii="Calibri" w:hAnsi="Calibri" w:eastAsia="Hiragino Sans GB"/>
          </w:rPr>
          <w:t>R2</w:t>
        </w:r>
      </w:hyperlink>
      <w:r>
        <w:t xml:space="preserve"> · </w:t>
      </w:r>
      <w:hyperlink r:id="rId20">
        <w:r>
          <w:rPr>
            <w:color w:val="1D5FD1"/>
            <w:u w:val="single"/>
            <w:sz w:val="17"/>
            <w:szCs w:val="17"/>
            <w:rFonts w:ascii="Calibri" w:hAnsi="Calibri" w:eastAsia="Hiragino Sans GB"/>
          </w:rPr>
          <w:t>R3</w:t>
        </w:r>
      </w:hyperlink>
      <w:r>
        <w:t xml:space="preserve"> · </w:t>
      </w:r>
      <w:hyperlink r:id="rId21">
        <w:r>
          <w:rPr>
            <w:color w:val="1D5FD1"/>
            <w:u w:val="single"/>
            <w:sz w:val="17"/>
            <w:szCs w:val="17"/>
            <w:rFonts w:ascii="Calibri" w:hAnsi="Calibri" w:eastAsia="Hiragino Sans GB"/>
          </w:rPr>
          <w:t>对应 Thesis</w:t>
        </w:r>
      </w:hyperlink>
    </w:p>
    <w:p>
      <w:pPr>
        <w:pStyle w:val="Heading2"/>
        <w:keepNext/>
      </w:pPr>
      <w:r>
        <w:t>02 · HOLD｜AI 再通胀/利率敏感资产：电力约束成立，但宏观传导仍待验证</w:t>
      </w:r>
    </w:p>
    <w:p>
      <w:pPr>
        <w:keepLines/>
      </w:pPr>
      <w:r>
        <w:rPr>
          <w:rFonts w:ascii="Calibri" w:hAnsi="Calibri" w:eastAsia="Hiragino Sans GB"/>
          <w:b w:val="0"/>
          <w:color w:val="111111"/>
          <w:sz w:val="22"/>
        </w:rPr>
        <w:t>确定性 driver 保持原文：“观察等待：先放入观察池，只在证据密度和价格确认同时改善时进入组合。”AI负荷、电网投资和容量成本提供再通胀链条的产业依据，但其能否持续传导至通胀、实际利率和政策反应仍取决于能源价格及需求承受力，不能把电力研究热度直接写成宏观价格事实。</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XLE、XLU、TLT、GLD、JPM、NEE仅保留为情景观察工具；在CPI/PCE、油价与实际利率出现一致验证前，不预押单一路径，并维持能源受益腿与久期敏感腿的风险平衡。</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2">
        <w:r>
          <w:rPr>
            <w:color w:val="1D5FD1"/>
            <w:u w:val="single"/>
            <w:sz w:val="17"/>
            <w:szCs w:val="17"/>
            <w:rFonts w:ascii="Calibri" w:hAnsi="Calibri" w:eastAsia="Hiragino Sans GB"/>
          </w:rPr>
          <w:t>R1</w:t>
        </w:r>
      </w:hyperlink>
      <w:r>
        <w:t xml:space="preserve"> · </w:t>
      </w:r>
      <w:hyperlink r:id="rId23">
        <w:r>
          <w:rPr>
            <w:color w:val="1D5FD1"/>
            <w:u w:val="single"/>
            <w:sz w:val="17"/>
            <w:szCs w:val="17"/>
            <w:rFonts w:ascii="Calibri" w:hAnsi="Calibri" w:eastAsia="Hiragino Sans GB"/>
          </w:rPr>
          <w:t>R2</w:t>
        </w:r>
      </w:hyperlink>
      <w:r>
        <w:t xml:space="preserve"> · </w:t>
      </w:r>
      <w:hyperlink r:id="rId24">
        <w:r>
          <w:rPr>
            <w:color w:val="1D5FD1"/>
            <w:u w:val="single"/>
            <w:sz w:val="17"/>
            <w:szCs w:val="17"/>
            <w:rFonts w:ascii="Calibri" w:hAnsi="Calibri" w:eastAsia="Hiragino Sans GB"/>
          </w:rPr>
          <w:t>R3</w:t>
        </w:r>
      </w:hyperlink>
      <w:r>
        <w:t xml:space="preserve"> · </w:t>
      </w:r>
      <w:hyperlink r:id="rId25">
        <w:r>
          <w:rPr>
            <w:color w:val="1D5FD1"/>
            <w:u w:val="single"/>
            <w:sz w:val="17"/>
            <w:szCs w:val="17"/>
            <w:rFonts w:ascii="Calibri" w:hAnsi="Calibri" w:eastAsia="Hiragino Sans GB"/>
          </w:rPr>
          <w:t>对应 Thesis</w:t>
        </w:r>
      </w:hyperlink>
    </w:p>
    <w:p>
      <w:pPr>
        <w:pStyle w:val="Heading2"/>
        <w:keepNext/>
      </w:pPr>
      <w:r>
        <w:t>03 · HOLD｜AI 算力半导体：需求主干未被证伪，收益扩散仍须订单和现金流确认</w:t>
      </w:r>
    </w:p>
    <w:p>
      <w:pPr>
        <w:keepLines/>
      </w:pPr>
      <w:r>
        <w:rPr>
          <w:rFonts w:ascii="Calibri" w:hAnsi="Calibri" w:eastAsia="Hiragino Sans GB"/>
          <w:b w:val="0"/>
          <w:color w:val="111111"/>
          <w:sz w:val="22"/>
        </w:rPr>
        <w:t>确定性 driver 保持原文：“AI算力需求仍强，但收益正在从单一加速器向存储、定制芯片和云平台扩散；配置应侧重订单、产品结构和自由现金流，控制估值集中风险。 观察等待：先放入观察池，只在证据密度和价格确认同时改善时进入组合。”本周证据尚未确认AI订单塌缩，却把风险从一般估值波动推进到资本回报率、集群利用率和电力可得性验证；存储与定制芯片的受益范围因此扩大，但不能据此假定利润已经兑现。</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保持NVDA、TSM、MU、000660.KS、AMD、AVGO等在观察池中的分层比较，优先验证订单、产品结构、供给纪律与自由现金流；降低仅依赖高资本开支叙事且估值集中的暴露。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6">
        <w:r>
          <w:rPr>
            <w:color w:val="1D5FD1"/>
            <w:u w:val="single"/>
            <w:sz w:val="17"/>
            <w:szCs w:val="17"/>
            <w:rFonts w:ascii="Calibri" w:hAnsi="Calibri" w:eastAsia="Hiragino Sans GB"/>
          </w:rPr>
          <w:t>R1</w:t>
        </w:r>
      </w:hyperlink>
      <w:r>
        <w:t xml:space="preserve"> · </w:t>
      </w:r>
      <w:hyperlink r:id="rId27">
        <w:r>
          <w:rPr>
            <w:color w:val="1D5FD1"/>
            <w:u w:val="single"/>
            <w:sz w:val="17"/>
            <w:szCs w:val="17"/>
            <w:rFonts w:ascii="Calibri" w:hAnsi="Calibri" w:eastAsia="Hiragino Sans GB"/>
          </w:rPr>
          <w:t>R2</w:t>
        </w:r>
      </w:hyperlink>
      <w:r>
        <w:t xml:space="preserve"> · </w:t>
      </w:r>
      <w:hyperlink r:id="rId28">
        <w:r>
          <w:rPr>
            <w:color w:val="1D5FD1"/>
            <w:u w:val="single"/>
            <w:sz w:val="17"/>
            <w:szCs w:val="17"/>
            <w:rFonts w:ascii="Calibri" w:hAnsi="Calibri" w:eastAsia="Hiragino Sans GB"/>
          </w:rPr>
          <w:t>R3</w:t>
        </w:r>
      </w:hyperlink>
      <w:r>
        <w:t xml:space="preserve"> · </w:t>
      </w:r>
      <w:hyperlink r:id="rId29">
        <w:r>
          <w:rPr>
            <w:color w:val="1D5FD1"/>
            <w:u w:val="single"/>
            <w:sz w:val="17"/>
            <w:szCs w:val="17"/>
            <w:rFonts w:ascii="Calibri" w:hAnsi="Calibri" w:eastAsia="Hiragino Sans GB"/>
          </w:rPr>
          <w:t>对应 Thesis</w:t>
        </w:r>
      </w:hyperlink>
    </w:p>
    <w:p>
      <w:pPr>
        <w:pStyle w:val="Heading2"/>
        <w:keepNext/>
      </w:pPr>
      <w:r>
        <w:t>04 · HOLD｜Mag7 AI 平台再分层：从平台篮子转向投入回报筛选</w:t>
      </w:r>
    </w:p>
    <w:p>
      <w:pPr>
        <w:keepLines/>
      </w:pPr>
      <w:r>
        <w:rPr>
          <w:rFonts w:ascii="Calibri" w:hAnsi="Calibri" w:eastAsia="Hiragino Sans GB"/>
          <w:b w:val="0"/>
          <w:color w:val="111111"/>
          <w:sz w:val="22"/>
        </w:rPr>
        <w:t>确定性 driver 保持原文：“观察等待：先放入观察池，只在证据密度和价格确认同时改善时进入组合。”基础设施再分层仍有产业依据，但高资本开支并不自动转化为平台利润；云收入、backlog、利用率和电力锁定能力能否覆盖投入，才决定谁获得溢价、谁承担成本。</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不做Mag7整体上调，转向META、MSFT、AMZN、GOOGL等平台之间的资本效率和变现差异比较，同时把NVDA、TSM、AVGO等基础设施供给者作为独立风险单元；未经收入与现金流验证，不扩大篮子暴露。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0">
        <w:r>
          <w:rPr>
            <w:color w:val="1D5FD1"/>
            <w:u w:val="single"/>
            <w:sz w:val="17"/>
            <w:szCs w:val="17"/>
            <w:rFonts w:ascii="Calibri" w:hAnsi="Calibri" w:eastAsia="Hiragino Sans GB"/>
          </w:rPr>
          <w:t>R1</w:t>
        </w:r>
      </w:hyperlink>
      <w:r>
        <w:t xml:space="preserve"> · </w:t>
      </w:r>
      <w:hyperlink r:id="rId28">
        <w:r>
          <w:rPr>
            <w:color w:val="1D5FD1"/>
            <w:u w:val="single"/>
            <w:sz w:val="17"/>
            <w:szCs w:val="17"/>
            <w:rFonts w:ascii="Calibri" w:hAnsi="Calibri" w:eastAsia="Hiragino Sans GB"/>
          </w:rPr>
          <w:t>R2</w:t>
        </w:r>
      </w:hyperlink>
      <w:r>
        <w:t xml:space="preserve"> · </w:t>
      </w:r>
      <w:hyperlink r:id="rId31">
        <w:r>
          <w:rPr>
            <w:color w:val="1D5FD1"/>
            <w:u w:val="single"/>
            <w:sz w:val="17"/>
            <w:szCs w:val="17"/>
            <w:rFonts w:ascii="Calibri" w:hAnsi="Calibri" w:eastAsia="Hiragino Sans GB"/>
          </w:rPr>
          <w:t>R3</w:t>
        </w:r>
      </w:hyperlink>
      <w:r>
        <w:t xml:space="preserve"> · </w:t>
      </w:r>
      <w:hyperlink r:id="rId32">
        <w:r>
          <w:rPr>
            <w:color w:val="1D5FD1"/>
            <w:u w:val="single"/>
            <w:sz w:val="17"/>
            <w:szCs w:val="17"/>
            <w:rFonts w:ascii="Calibri" w:hAnsi="Calibri" w:eastAsia="Hiragino Sans GB"/>
          </w:rPr>
          <w:t>对应 Thesis</w:t>
        </w:r>
      </w:hyperlink>
    </w:p>
    <w:p>
      <w:pPr>
        <w:pStyle w:val="Heading2"/>
        <w:keepNext/>
      </w:pPr>
      <w:r>
        <w:t>05 · HOLD｜AI 软件效率/生产率：采用率与流程重构证据仍不足</w:t>
      </w:r>
    </w:p>
    <w:p>
      <w:pPr>
        <w:keepLines/>
      </w:pPr>
      <w:r>
        <w:rPr>
          <w:rFonts w:ascii="Calibri" w:hAnsi="Calibri" w:eastAsia="Hiragino Sans GB"/>
          <w:b w:val="0"/>
          <w:color w:val="111111"/>
          <w:sz w:val="22"/>
        </w:rPr>
        <w:t>确定性 driver 保持原文：“观察等待：先放入观察池，只在证据密度和价格确认同时改善时进入组合。”本周新增材料主要集中于算力投入、平台变现和自由现金流压力，尚未提供足够直接证据证明企业采用率、工作流重构和单位经济性已形成可持续的生产率去通胀；等待本身仍是当前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MSFT、GOOGL、META、AMZN、NOW、CRM、ADBE继续按付费转化、席位扩张、客户留存和利润率分层观察；不把模型调用增长或研究热度直接视为软件利润兑现。</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1">
        <w:r>
          <w:rPr>
            <w:color w:val="1D5FD1"/>
            <w:u w:val="single"/>
            <w:sz w:val="17"/>
            <w:szCs w:val="17"/>
            <w:rFonts w:ascii="Calibri" w:hAnsi="Calibri" w:eastAsia="Hiragino Sans GB"/>
          </w:rPr>
          <w:t>R1</w:t>
        </w:r>
      </w:hyperlink>
      <w:r>
        <w:t xml:space="preserve"> · </w:t>
      </w:r>
      <w:hyperlink r:id="rId33">
        <w:r>
          <w:rPr>
            <w:color w:val="1D5FD1"/>
            <w:u w:val="single"/>
            <w:sz w:val="17"/>
            <w:szCs w:val="17"/>
            <w:rFonts w:ascii="Calibri" w:hAnsi="Calibri" w:eastAsia="Hiragino Sans GB"/>
          </w:rPr>
          <w:t>R2</w:t>
        </w:r>
      </w:hyperlink>
      <w:r>
        <w:t xml:space="preserve"> · </w:t>
      </w:r>
      <w:hyperlink r:id="rId27">
        <w:r>
          <w:rPr>
            <w:color w:val="1D5FD1"/>
            <w:u w:val="single"/>
            <w:sz w:val="17"/>
            <w:szCs w:val="17"/>
            <w:rFonts w:ascii="Calibri" w:hAnsi="Calibri" w:eastAsia="Hiragino Sans GB"/>
          </w:rPr>
          <w:t>R3</w:t>
        </w:r>
      </w:hyperlink>
      <w:r>
        <w:t xml:space="preserve"> · </w:t>
      </w:r>
      <w:hyperlink r:id="rId34">
        <w:r>
          <w:rPr>
            <w:color w:val="1D5FD1"/>
            <w:u w:val="single"/>
            <w:sz w:val="17"/>
            <w:szCs w:val="17"/>
            <w:rFonts w:ascii="Calibri" w:hAnsi="Calibri" w:eastAsia="Hiragino Sans GB"/>
          </w:rPr>
          <w:t>对应 Thesis</w:t>
        </w:r>
      </w:hyperlink>
    </w:p>
    <w:p>
      <w:pPr>
        <w:pStyle w:val="Heading2"/>
        <w:keepNext/>
      </w:pPr>
      <w:r>
        <w:t>06 · HOLD｜低价模型/AI 软件利润池：坚持配对验证，不做指数级外推</w:t>
      </w:r>
    </w:p>
    <w:p>
      <w:pPr>
        <w:keepLines/>
      </w:pPr>
      <w:r>
        <w:rPr>
          <w:rFonts w:ascii="Calibri" w:hAnsi="Calibri" w:eastAsia="Hiragino Sans GB"/>
          <w:b w:val="0"/>
          <w:color w:val="111111"/>
          <w:sz w:val="22"/>
        </w:rPr>
        <w:t>确定性 driver 保持原文：“分歧主线：配对验证：这是有投资含义但证据分歧很高的主线，更适合配对验证、分批试错和严格证伪。”低价模型可能扩大使用量并改变云平台议价结构，但阿里云变现压力、资本开支拖累以及恒生科技行情能否从个股拓宽至篮子均未得到充分验证；低价不等于软件利润池必然扩大。</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围绕BABA、9988.HK、BIDU、9888.HK、0700.HK与MSFT、CRM进行平台—软件配对跟踪，优先观察推理量、付费转化、云收入和利润率的组合变化；在证据修复前维持小规模、分批和可撤回的验证框架。</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1">
        <w:r>
          <w:rPr>
            <w:color w:val="1D5FD1"/>
            <w:u w:val="single"/>
            <w:sz w:val="17"/>
            <w:szCs w:val="17"/>
            <w:rFonts w:ascii="Calibri" w:hAnsi="Calibri" w:eastAsia="Hiragino Sans GB"/>
          </w:rPr>
          <w:t>R1</w:t>
        </w:r>
      </w:hyperlink>
      <w:r>
        <w:t xml:space="preserve"> · </w:t>
      </w:r>
      <w:hyperlink r:id="rId35">
        <w:r>
          <w:rPr>
            <w:color w:val="1D5FD1"/>
            <w:u w:val="single"/>
            <w:sz w:val="17"/>
            <w:szCs w:val="17"/>
            <w:rFonts w:ascii="Calibri" w:hAnsi="Calibri" w:eastAsia="Hiragino Sans GB"/>
          </w:rPr>
          <w:t>R2</w:t>
        </w:r>
      </w:hyperlink>
      <w:r>
        <w:t xml:space="preserve"> · </w:t>
      </w:r>
      <w:hyperlink r:id="rId36">
        <w:r>
          <w:rPr>
            <w:color w:val="1D5FD1"/>
            <w:u w:val="single"/>
            <w:sz w:val="17"/>
            <w:szCs w:val="17"/>
            <w:rFonts w:ascii="Calibri" w:hAnsi="Calibri" w:eastAsia="Hiragino Sans GB"/>
          </w:rPr>
          <w:t>R3</w:t>
        </w:r>
      </w:hyperlink>
      <w:r>
        <w:t xml:space="preserve"> · </w:t>
      </w:r>
      <w:hyperlink r:id="rId37">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NEW  </w:t>
      </w:r>
      <w:r>
        <w:rPr>
          <w:rFonts w:ascii="Calibri" w:hAnsi="Calibri" w:eastAsia="Hiragino Sans GB"/>
          <w:b/>
          <w:color w:val="111111"/>
          <w:sz w:val="22"/>
        </w:rPr>
        <w:t>基线版成立，但不能声称周环比改善</w:t>
      </w:r>
    </w:p>
    <w:p>
      <w:pPr>
        <w:keepLines w:val="0"/>
      </w:pPr>
      <w:r>
        <w:rPr>
          <w:rFonts w:ascii="Calibri" w:hAnsi="Calibri" w:eastAsia="Hiragino Sans GB"/>
          <w:b w:val="0"/>
          <w:color w:val="111111"/>
          <w:sz w:val="22"/>
        </w:rPr>
        <w:t>priorWeek 不可用，因此本期只能把八项 standing theses 与2026-W29证据进行首次对照。六项 deterministic calls 全为HOLD，代表当前形成的是可跟踪基线而非趋势升级；同时，publicationStatus 为 degraded、marketQuoteRows 为0，研究事件数量也不能被解释为市场成交、资金流或价格确认。</w:t>
      </w:r>
    </w:p>
    <w:p>
      <w:pPr>
        <w:keepNext/>
      </w:pPr>
      <w:r>
        <w:rPr>
          <w:rFonts w:ascii="Calibri" w:hAnsi="Calibri" w:eastAsia="Hiragino Sans GB"/>
          <w:b/>
          <w:color w:val="D85B16"/>
          <w:sz w:val="18"/>
        </w:rPr>
        <w:t xml:space="preserve">02  WEAKENED  </w:t>
      </w:r>
      <w:r>
        <w:rPr>
          <w:rFonts w:ascii="Calibri" w:hAnsi="Calibri" w:eastAsia="Hiragino Sans GB"/>
          <w:b/>
          <w:color w:val="111111"/>
          <w:sz w:val="22"/>
        </w:rPr>
        <w:t>A股杠铃的可执行性弱于其叙事完整性</w:t>
      </w:r>
    </w:p>
    <w:p>
      <w:pPr>
        <w:keepLines w:val="0"/>
      </w:pPr>
      <w:r>
        <w:rPr>
          <w:rFonts w:ascii="Calibri" w:hAnsi="Calibri" w:eastAsia="Hiragino Sans GB"/>
          <w:b w:val="0"/>
          <w:color w:val="111111"/>
          <w:sz w:val="22"/>
        </w:rPr>
        <w:t>standing thesis 将红利与硬科技视为政策、利率和风险偏好的组合表达；本周低折现率研究继续支持红利端，但险资承接的可持续性、成长去杠杆及红利拥挤压力表明，两端并非天然互相对冲。主导观点因此受到挑战：杠铃可以保留，但必须等待融资余额、ETF申赎、北向资金与价格确认，而非依据题材覆盖度直接入场。</w:t>
      </w:r>
    </w:p>
    <w:p>
      <w:pPr>
        <w:pStyle w:val="TableCitation"/>
      </w:pPr>
      <w:r>
        <w:t>关联标的：</w:t>
      </w:r>
      <w:hyperlink r:id="rId38">
        <w:r>
          <w:rPr>
            <w:color w:val="1D5FD1"/>
            <w:u w:val="single"/>
            <w:sz w:val="17"/>
            <w:szCs w:val="17"/>
            <w:rFonts w:ascii="Calibri" w:hAnsi="Calibri" w:eastAsia="Hiragino Sans GB"/>
          </w:rPr>
          <w:t>510880.SH</w:t>
        </w:r>
      </w:hyperlink>
      <w:r>
        <w:t xml:space="preserve"> · </w:t>
      </w:r>
      <w:hyperlink r:id="rId39">
        <w:r>
          <w:rPr>
            <w:color w:val="1D5FD1"/>
            <w:u w:val="single"/>
            <w:sz w:val="17"/>
            <w:szCs w:val="17"/>
            <w:rFonts w:ascii="Calibri" w:hAnsi="Calibri" w:eastAsia="Hiragino Sans GB"/>
          </w:rPr>
          <w:t>600900.SH</w:t>
        </w:r>
      </w:hyperlink>
      <w:r>
        <w:t xml:space="preserve"> · </w:t>
      </w:r>
      <w:hyperlink r:id="rId40">
        <w:r>
          <w:rPr>
            <w:color w:val="1D5FD1"/>
            <w:u w:val="single"/>
            <w:sz w:val="17"/>
            <w:szCs w:val="17"/>
            <w:rFonts w:ascii="Calibri" w:hAnsi="Calibri" w:eastAsia="Hiragino Sans GB"/>
          </w:rPr>
          <w:t>601398.SH</w:t>
        </w:r>
      </w:hyperlink>
      <w:r>
        <w:t xml:space="preserve"> · </w:t>
      </w:r>
      <w:hyperlink r:id="rId41">
        <w:r>
          <w:rPr>
            <w:color w:val="1D5FD1"/>
            <w:u w:val="single"/>
            <w:sz w:val="17"/>
            <w:szCs w:val="17"/>
            <w:rFonts w:ascii="Calibri" w:hAnsi="Calibri" w:eastAsia="Hiragino Sans GB"/>
          </w:rPr>
          <w:t>588000.SH</w:t>
        </w:r>
      </w:hyperlink>
      <w:r>
        <w:t xml:space="preserve"> · </w:t>
      </w:r>
      <w:hyperlink r:id="rId42">
        <w:r>
          <w:rPr>
            <w:color w:val="1D5FD1"/>
            <w:u w:val="single"/>
            <w:sz w:val="17"/>
            <w:szCs w:val="17"/>
            <w:rFonts w:ascii="Calibri" w:hAnsi="Calibri" w:eastAsia="Hiragino Sans GB"/>
          </w:rPr>
          <w:t>688981.SH</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AI半导体从单一需求判断转为“订单时钟—估值时钟”分裂</w:t>
      </w:r>
    </w:p>
    <w:p>
      <w:pPr>
        <w:keepLines w:val="0"/>
      </w:pPr>
      <w:r>
        <w:rPr>
          <w:rFonts w:ascii="Calibri" w:hAnsi="Calibri" w:eastAsia="Hiragino Sans GB"/>
          <w:b w:val="0"/>
          <w:color w:val="111111"/>
          <w:sz w:val="22"/>
        </w:rPr>
        <w:t>standing thesis 强调NAND盈利弹性来自价格与产品结构，而非单纯出货；本周证据把这一框架扩展至GPU、HBM、先进封装和定制芯片：订单与经营证据尚未确认需求崩塌，但资本回报、利用率、电力可得性和供给纪律开始成为并列闸门。结论不是全面转空，而是从行业beta转向产品结构与现金流分层。</w:t>
      </w:r>
    </w:p>
    <w:p>
      <w:pPr>
        <w:pStyle w:val="TableCitation"/>
      </w:pPr>
      <w:r>
        <w:t>关联标的：</w:t>
      </w:r>
      <w:hyperlink r:id="rId43">
        <w:r>
          <w:rPr>
            <w:color w:val="1D5FD1"/>
            <w:u w:val="single"/>
            <w:sz w:val="17"/>
            <w:szCs w:val="17"/>
            <w:rFonts w:ascii="Calibri" w:hAnsi="Calibri" w:eastAsia="Hiragino Sans GB"/>
          </w:rPr>
          <w:t>NVDA</w:t>
        </w:r>
      </w:hyperlink>
      <w:r>
        <w:t xml:space="preserve"> · </w:t>
      </w:r>
      <w:hyperlink r:id="rId44">
        <w:r>
          <w:rPr>
            <w:color w:val="1D5FD1"/>
            <w:u w:val="single"/>
            <w:sz w:val="17"/>
            <w:szCs w:val="17"/>
            <w:rFonts w:ascii="Calibri" w:hAnsi="Calibri" w:eastAsia="Hiragino Sans GB"/>
          </w:rPr>
          <w:t>TSM</w:t>
        </w:r>
      </w:hyperlink>
      <w:r>
        <w:t xml:space="preserve"> · </w:t>
      </w:r>
      <w:hyperlink r:id="rId45">
        <w:r>
          <w:rPr>
            <w:color w:val="1D5FD1"/>
            <w:u w:val="single"/>
            <w:sz w:val="17"/>
            <w:szCs w:val="17"/>
            <w:rFonts w:ascii="Calibri" w:hAnsi="Calibri" w:eastAsia="Hiragino Sans GB"/>
          </w:rPr>
          <w:t>MU</w:t>
        </w:r>
      </w:hyperlink>
      <w:r>
        <w:t xml:space="preserve"> · </w:t>
      </w:r>
      <w:hyperlink r:id="rId46">
        <w:r>
          <w:rPr>
            <w:color w:val="1D5FD1"/>
            <w:u w:val="single"/>
            <w:sz w:val="17"/>
            <w:szCs w:val="17"/>
            <w:rFonts w:ascii="Calibri" w:hAnsi="Calibri" w:eastAsia="Hiragino Sans GB"/>
          </w:rPr>
          <w:t>000660.KS</w:t>
        </w:r>
      </w:hyperlink>
      <w:r>
        <w:t xml:space="preserve"> · </w:t>
      </w:r>
      <w:hyperlink r:id="rId47">
        <w:r>
          <w:rPr>
            <w:color w:val="1D5FD1"/>
            <w:u w:val="single"/>
            <w:sz w:val="17"/>
            <w:szCs w:val="17"/>
            <w:rFonts w:ascii="Calibri" w:hAnsi="Calibri" w:eastAsia="Hiragino Sans GB"/>
          </w:rPr>
          <w:t>AMD</w:t>
        </w:r>
      </w:hyperlink>
      <w:r>
        <w:t xml:space="preserve"> · </w:t>
      </w:r>
      <w:hyperlink r:id="rId48">
        <w:r>
          <w:rPr>
            <w:color w:val="1D5FD1"/>
            <w:u w:val="single"/>
            <w:sz w:val="17"/>
            <w:szCs w:val="17"/>
            <w:rFonts w:ascii="Calibri" w:hAnsi="Calibri" w:eastAsia="Hiragino Sans GB"/>
          </w:rPr>
          <w:t>AVGO</w:t>
        </w:r>
      </w:hyperlink>
    </w:p>
    <w:p>
      <w:pPr>
        <w:keepNext/>
      </w:pPr>
      <w:r>
        <w:rPr>
          <w:rFonts w:ascii="Calibri" w:hAnsi="Calibri" w:eastAsia="Hiragino Sans GB"/>
          <w:b/>
          <w:color w:val="D85B16"/>
          <w:sz w:val="18"/>
        </w:rPr>
        <w:t xml:space="preserve">04  SPLIT  </w:t>
      </w:r>
      <w:r>
        <w:rPr>
          <w:rFonts w:ascii="Calibri" w:hAnsi="Calibri" w:eastAsia="Hiragino Sans GB"/>
          <w:b/>
          <w:color w:val="111111"/>
          <w:sz w:val="22"/>
        </w:rPr>
        <w:t>Mag7再分层观点获得产业支持，却被资本效率证据削弱</w:t>
      </w:r>
    </w:p>
    <w:p>
      <w:pPr>
        <w:keepLines w:val="0"/>
      </w:pPr>
      <w:r>
        <w:rPr>
          <w:rFonts w:ascii="Calibri" w:hAnsi="Calibri" w:eastAsia="Hiragino Sans GB"/>
          <w:b w:val="0"/>
          <w:color w:val="111111"/>
          <w:sz w:val="22"/>
        </w:rPr>
        <w:t>standing thesis 认为Mag7将从平台垄断转向基础设施再分层；本周内制芯片、算力资产化和容量锁定研究支持分层发生，但云变现、资本开支、自由现金流及GPU利用率压力说明，基础设施投入规模不能直接证明平台赢家。选股逻辑得到强化，整体篮子逻辑反而减弱。</w:t>
      </w:r>
    </w:p>
    <w:p>
      <w:pPr>
        <w:pStyle w:val="TableCitation"/>
      </w:pPr>
      <w:r>
        <w:t>关联标的：</w:t>
      </w:r>
      <w:hyperlink r:id="rId49">
        <w:r>
          <w:rPr>
            <w:color w:val="1D5FD1"/>
            <w:u w:val="single"/>
            <w:sz w:val="17"/>
            <w:szCs w:val="17"/>
            <w:rFonts w:ascii="Calibri" w:hAnsi="Calibri" w:eastAsia="Hiragino Sans GB"/>
          </w:rPr>
          <w:t>META</w:t>
        </w:r>
      </w:hyperlink>
      <w:r>
        <w:t xml:space="preserve"> · </w:t>
      </w:r>
      <w:hyperlink r:id="rId50">
        <w:r>
          <w:rPr>
            <w:color w:val="1D5FD1"/>
            <w:u w:val="single"/>
            <w:sz w:val="17"/>
            <w:szCs w:val="17"/>
            <w:rFonts w:ascii="Calibri" w:hAnsi="Calibri" w:eastAsia="Hiragino Sans GB"/>
          </w:rPr>
          <w:t>MSFT</w:t>
        </w:r>
      </w:hyperlink>
      <w:r>
        <w:t xml:space="preserve"> · </w:t>
      </w:r>
      <w:hyperlink r:id="rId51">
        <w:r>
          <w:rPr>
            <w:color w:val="1D5FD1"/>
            <w:u w:val="single"/>
            <w:sz w:val="17"/>
            <w:szCs w:val="17"/>
            <w:rFonts w:ascii="Calibri" w:hAnsi="Calibri" w:eastAsia="Hiragino Sans GB"/>
          </w:rPr>
          <w:t>AMZN</w:t>
        </w:r>
      </w:hyperlink>
      <w:r>
        <w:t xml:space="preserve"> · </w:t>
      </w:r>
      <w:hyperlink r:id="rId52">
        <w:r>
          <w:rPr>
            <w:color w:val="1D5FD1"/>
            <w:u w:val="single"/>
            <w:sz w:val="17"/>
            <w:szCs w:val="17"/>
            <w:rFonts w:ascii="Calibri" w:hAnsi="Calibri" w:eastAsia="Hiragino Sans GB"/>
          </w:rPr>
          <w:t>GOOGL</w:t>
        </w:r>
      </w:hyperlink>
      <w:r>
        <w:t xml:space="preserve"> · </w:t>
      </w:r>
      <w:hyperlink r:id="rId43">
        <w:r>
          <w:rPr>
            <w:color w:val="1D5FD1"/>
            <w:u w:val="single"/>
            <w:sz w:val="17"/>
            <w:szCs w:val="17"/>
            <w:rFonts w:ascii="Calibri" w:hAnsi="Calibri" w:eastAsia="Hiragino Sans GB"/>
          </w:rPr>
          <w:t>NVDA</w:t>
        </w:r>
      </w:hyperlink>
      <w:r>
        <w:t xml:space="preserve"> · </w:t>
      </w:r>
      <w:hyperlink r:id="rId44">
        <w:r>
          <w:rPr>
            <w:color w:val="1D5FD1"/>
            <w:u w:val="single"/>
            <w:sz w:val="17"/>
            <w:szCs w:val="17"/>
            <w:rFonts w:ascii="Calibri" w:hAnsi="Calibri" w:eastAsia="Hiragino Sans GB"/>
          </w:rPr>
          <w:t>TSM</w:t>
        </w:r>
      </w:hyperlink>
    </w:p>
    <w:p>
      <w:pPr>
        <w:keepNext/>
      </w:pPr>
      <w:r>
        <w:rPr>
          <w:rFonts w:ascii="Calibri" w:hAnsi="Calibri" w:eastAsia="Hiragino Sans GB"/>
          <w:b/>
          <w:color w:val="D85B16"/>
          <w:sz w:val="18"/>
        </w:rPr>
        <w:t xml:space="preserve">05  STRENGTHENED  </w:t>
      </w:r>
      <w:r>
        <w:rPr>
          <w:rFonts w:ascii="Calibri" w:hAnsi="Calibri" w:eastAsia="Hiragino Sans GB"/>
          <w:b/>
          <w:color w:val="111111"/>
          <w:sz w:val="22"/>
        </w:rPr>
        <w:t>AI再通胀链条得到更多产业锚，但尚未完成宏观闭环</w:t>
      </w:r>
    </w:p>
    <w:p>
      <w:pPr>
        <w:keepLines w:val="0"/>
      </w:pPr>
      <w:r>
        <w:rPr>
          <w:rFonts w:ascii="Calibri" w:hAnsi="Calibri" w:eastAsia="Hiragino Sans GB"/>
          <w:b w:val="0"/>
          <w:color w:val="111111"/>
          <w:sz w:val="22"/>
        </w:rPr>
        <w:t>standing thesis 将AI资本开支经能源、设备和利率传导至通胀定价；本周电力负荷、并网与变压器瓶颈研究增强了成本端链条，油价与汇率压力测试也补充了跨资产路径。不过从设备稀缺到CPI/PCE和实际利率仍有传导距离，故只能视为论据增强，不能视为通胀或利率已经上行。</w:t>
      </w:r>
    </w:p>
    <w:p>
      <w:pPr>
        <w:pStyle w:val="TableCitation"/>
      </w:pPr>
      <w:r>
        <w:t>关联标的：</w:t>
      </w:r>
      <w:hyperlink r:id="rId53">
        <w:r>
          <w:rPr>
            <w:color w:val="1D5FD1"/>
            <w:u w:val="single"/>
            <w:sz w:val="17"/>
            <w:szCs w:val="17"/>
            <w:rFonts w:ascii="Calibri" w:hAnsi="Calibri" w:eastAsia="Hiragino Sans GB"/>
          </w:rPr>
          <w:t>GEV</w:t>
        </w:r>
      </w:hyperlink>
      <w:r>
        <w:t xml:space="preserve"> · </w:t>
      </w:r>
      <w:hyperlink r:id="rId54">
        <w:r>
          <w:rPr>
            <w:color w:val="1D5FD1"/>
            <w:u w:val="single"/>
            <w:sz w:val="17"/>
            <w:szCs w:val="17"/>
            <w:rFonts w:ascii="Calibri" w:hAnsi="Calibri" w:eastAsia="Hiragino Sans GB"/>
          </w:rPr>
          <w:t>ETN</w:t>
        </w:r>
      </w:hyperlink>
      <w:r>
        <w:t xml:space="preserve"> · </w:t>
      </w:r>
      <w:hyperlink r:id="rId55">
        <w:r>
          <w:rPr>
            <w:color w:val="1D5FD1"/>
            <w:u w:val="single"/>
            <w:sz w:val="17"/>
            <w:szCs w:val="17"/>
            <w:rFonts w:ascii="Calibri" w:hAnsi="Calibri" w:eastAsia="Hiragino Sans GB"/>
          </w:rPr>
          <w:t>600089.SH</w:t>
        </w:r>
      </w:hyperlink>
      <w:r>
        <w:t xml:space="preserve"> · </w:t>
      </w:r>
      <w:hyperlink r:id="rId56">
        <w:r>
          <w:rPr>
            <w:color w:val="1D5FD1"/>
            <w:u w:val="single"/>
            <w:sz w:val="17"/>
            <w:szCs w:val="17"/>
            <w:rFonts w:ascii="Calibri" w:hAnsi="Calibri" w:eastAsia="Hiragino Sans GB"/>
          </w:rPr>
          <w:t>002028.SZ</w:t>
        </w:r>
      </w:hyperlink>
      <w:r>
        <w:t xml:space="preserve"> · </w:t>
      </w:r>
      <w:hyperlink r:id="rId57">
        <w:r>
          <w:rPr>
            <w:color w:val="1D5FD1"/>
            <w:u w:val="single"/>
            <w:sz w:val="17"/>
            <w:szCs w:val="17"/>
            <w:rFonts w:ascii="Calibri" w:hAnsi="Calibri" w:eastAsia="Hiragino Sans GB"/>
          </w:rPr>
          <w:t>XLE</w:t>
        </w:r>
      </w:hyperlink>
      <w:r>
        <w:t xml:space="preserve"> · </w:t>
      </w:r>
      <w:hyperlink r:id="rId58">
        <w:r>
          <w:rPr>
            <w:color w:val="1D5FD1"/>
            <w:u w:val="single"/>
            <w:sz w:val="17"/>
            <w:szCs w:val="17"/>
            <w:rFonts w:ascii="Calibri" w:hAnsi="Calibri" w:eastAsia="Hiragino Sans GB"/>
          </w:rPr>
          <w:t>TLT</w:t>
        </w:r>
      </w:hyperlink>
      <w:r>
        <w:t xml:space="preserve"> · </w:t>
      </w:r>
      <w:hyperlink r:id="rId59">
        <w:r>
          <w:rPr>
            <w:color w:val="1D5FD1"/>
            <w:u w:val="single"/>
            <w:sz w:val="17"/>
            <w:szCs w:val="17"/>
            <w:rFonts w:ascii="Calibri" w:hAnsi="Calibri" w:eastAsia="Hiragino Sans GB"/>
          </w:rPr>
          <w:t>GLD</w:t>
        </w:r>
      </w:hyperlink>
    </w:p>
    <w:p>
      <w:pPr>
        <w:keepNext/>
      </w:pPr>
      <w:r>
        <w:rPr>
          <w:rFonts w:ascii="Calibri" w:hAnsi="Calibri" w:eastAsia="Hiragino Sans GB"/>
          <w:b/>
          <w:color w:val="D85B16"/>
          <w:sz w:val="18"/>
        </w:rPr>
        <w:t xml:space="preserve">06  UNCHANGED_BUT_IMPORTANT  </w:t>
      </w:r>
      <w:r>
        <w:rPr>
          <w:rFonts w:ascii="Calibri" w:hAnsi="Calibri" w:eastAsia="Hiragino Sans GB"/>
          <w:b/>
          <w:color w:val="111111"/>
          <w:sz w:val="22"/>
        </w:rPr>
        <w:t>生产率去通胀仍停留在待验证阶段</w:t>
      </w:r>
    </w:p>
    <w:p>
      <w:pPr>
        <w:keepLines w:val="0"/>
      </w:pPr>
      <w:r>
        <w:rPr>
          <w:rFonts w:ascii="Calibri" w:hAnsi="Calibri" w:eastAsia="Hiragino Sans GB"/>
          <w:b w:val="0"/>
          <w:color w:val="111111"/>
          <w:sz w:val="22"/>
        </w:rPr>
        <w:t>standing thesis 本就要求采用率和流程重构验证；本周新证据主要讨论基础设施投入、平台变现和资本回报，并未补足企业工作流、付费转化和单位成本改善的直接证据。因而结论没有转强，反而凸显软件效率与硬件再通胀可能处在不同时间尺度。</w:t>
      </w:r>
    </w:p>
    <w:p>
      <w:pPr>
        <w:pStyle w:val="TableCitation"/>
      </w:pPr>
      <w:r>
        <w:t>关联标的：</w:t>
      </w:r>
      <w:hyperlink r:id="rId50">
        <w:r>
          <w:rPr>
            <w:color w:val="1D5FD1"/>
            <w:u w:val="single"/>
            <w:sz w:val="17"/>
            <w:szCs w:val="17"/>
            <w:rFonts w:ascii="Calibri" w:hAnsi="Calibri" w:eastAsia="Hiragino Sans GB"/>
          </w:rPr>
          <w:t>MSFT</w:t>
        </w:r>
      </w:hyperlink>
      <w:r>
        <w:t xml:space="preserve"> · </w:t>
      </w:r>
      <w:hyperlink r:id="rId52">
        <w:r>
          <w:rPr>
            <w:color w:val="1D5FD1"/>
            <w:u w:val="single"/>
            <w:sz w:val="17"/>
            <w:szCs w:val="17"/>
            <w:rFonts w:ascii="Calibri" w:hAnsi="Calibri" w:eastAsia="Hiragino Sans GB"/>
          </w:rPr>
          <w:t>GOOGL</w:t>
        </w:r>
      </w:hyperlink>
      <w:r>
        <w:t xml:space="preserve"> · </w:t>
      </w:r>
      <w:hyperlink r:id="rId49">
        <w:r>
          <w:rPr>
            <w:color w:val="1D5FD1"/>
            <w:u w:val="single"/>
            <w:sz w:val="17"/>
            <w:szCs w:val="17"/>
            <w:rFonts w:ascii="Calibri" w:hAnsi="Calibri" w:eastAsia="Hiragino Sans GB"/>
          </w:rPr>
          <w:t>META</w:t>
        </w:r>
      </w:hyperlink>
      <w:r>
        <w:t xml:space="preserve"> · </w:t>
      </w:r>
      <w:hyperlink r:id="rId51">
        <w:r>
          <w:rPr>
            <w:color w:val="1D5FD1"/>
            <w:u w:val="single"/>
            <w:sz w:val="17"/>
            <w:szCs w:val="17"/>
            <w:rFonts w:ascii="Calibri" w:hAnsi="Calibri" w:eastAsia="Hiragino Sans GB"/>
          </w:rPr>
          <w:t>AMZN</w:t>
        </w:r>
      </w:hyperlink>
      <w:r>
        <w:t xml:space="preserve"> · </w:t>
      </w:r>
      <w:hyperlink r:id="rId60">
        <w:r>
          <w:rPr>
            <w:color w:val="1D5FD1"/>
            <w:u w:val="single"/>
            <w:sz w:val="17"/>
            <w:szCs w:val="17"/>
            <w:rFonts w:ascii="Calibri" w:hAnsi="Calibri" w:eastAsia="Hiragino Sans GB"/>
          </w:rPr>
          <w:t>NOW</w:t>
        </w:r>
      </w:hyperlink>
      <w:r>
        <w:t xml:space="preserve"> · </w:t>
      </w:r>
      <w:hyperlink r:id="rId61">
        <w:r>
          <w:rPr>
            <w:color w:val="1D5FD1"/>
            <w:u w:val="single"/>
            <w:sz w:val="17"/>
            <w:szCs w:val="17"/>
            <w:rFonts w:ascii="Calibri" w:hAnsi="Calibri" w:eastAsia="Hiragino Sans GB"/>
          </w:rPr>
          <w:t>CRM</w:t>
        </w:r>
      </w:hyperlink>
      <w:r>
        <w:t xml:space="preserve"> · </w:t>
      </w:r>
      <w:hyperlink r:id="rId62">
        <w:r>
          <w:rPr>
            <w:color w:val="1D5FD1"/>
            <w:u w:val="single"/>
            <w:sz w:val="17"/>
            <w:szCs w:val="17"/>
            <w:rFonts w:ascii="Calibri" w:hAnsi="Calibri" w:eastAsia="Hiragino Sans GB"/>
          </w:rPr>
          <w:t>ADBE</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3">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0981.HK · 688041.SH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4">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MU</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4">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688729.SH · 512100.SH · 301221.SZ · 688667.SH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5">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66">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ETN · VST · CEG · 002028.SZ · 600089.SH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7">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COP</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8">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CME · GLD</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9">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DUK · CEG · AEP · 600905.SH · 600025.SH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0">
              <w:r>
                <w:rPr>
                  <w:color w:val="1D5FD1"/>
                  <w:u w:val="single"/>
                  <w:b/>
                  <w:sz w:val="16"/>
                  <w:szCs w:val="16"/>
                  <w:rFonts w:ascii="Calibri" w:hAnsi="Calibri" w:eastAsia="Hiragino Sans GB"/>
                </w:rPr>
                <w:t>中国大健康/创新药出海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1801.HK · 600276.SH · 2359.HK · 9926.HK · 2269.HK · 603259.SH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15">
              <w:r>
                <w:rPr>
                  <w:color w:val="1D5FD1"/>
                  <w:u w:val="single"/>
                  <w:b/>
                  <w:sz w:val="16"/>
                  <w:szCs w:val="16"/>
                  <w:rFonts w:ascii="Calibri" w:hAnsi="Calibri" w:eastAsia="Hiragino Sans GB"/>
                </w:rPr>
                <w:t>Mag7 AI 平台再分层</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META · MSFT · NVDA · AMZN · GOOGL · TSM</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1">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300308.SZ · 588000.SH · 688256.SH · 688981.SH · 688008.SH · 688041.SH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72">
              <w:r>
                <w:rPr>
                  <w:color w:val="1D5FD1"/>
                  <w:u w:val="single"/>
                  <w:b/>
                  <w:sz w:val="16"/>
                  <w:szCs w:val="16"/>
                  <w:rFonts w:ascii="Calibri" w:hAnsi="Calibri" w:eastAsia="Hiragino Sans GB"/>
                </w:rPr>
                <w:t>食品加工/成本传导</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001215.SZ · 600298.SH · 603027.SH · 300973.SZ · 603317.SH · 002847.SZ</w:t>
            </w:r>
          </w:p>
        </w:tc>
      </w:tr>
    </w:tbl>
    <w:p>
      <w:pPr>
        <w:pStyle w:val="Heading1"/>
      </w:pPr>
      <w:r>
        <w:t>6. 关键分歧：保留正反两面</w:t>
      </w:r>
    </w:p>
    <w:p>
      <w:pPr>
        <w:pStyle w:val="Heading2"/>
      </w:pPr>
      <w:r>
        <w:t>01 · AI订单韧性与资本回报证伪</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亚洲半导体“双时钟”研究及硬件篮子证据尚未确认订单崩塌，GPU主干、存储和定制芯片仍可能分享AI资本开支。</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开盘风险已从个股止盈上调为资本开支质疑预警；若云收入、backlog、利用率和自由现金流不能覆盖投入，估值去杠杆可能升级为基本面证伪。</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观察云厂商capex指引、云收入增速、backlog、GPU集群利用率及自由现金流指引是否同步改善或恶化。</w:t>
            </w:r>
          </w:p>
        </w:tc>
      </w:tr>
    </w:tbl>
    <w:p>
      <w:pPr>
        <w:pStyle w:val="Heading2"/>
      </w:pPr>
      <w:r>
        <w:t>02 · 电力瓶颈是稀缺资产，还是AI兑现税</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并网容量、变压器产能槽位和已通电资产具有稀缺性，可能把议价权导向设备商及拥有确定电量的运营商。</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同一瓶颈也可能延后数据中心投产、抬高云厂商成本，并把名义GPU容量折算为更少的可用算力；扩产若奏效，设备稀缺溢价还可能提前消退。</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观察并网排队、变压器交期、扩产兑现、已通电兆瓦、冷却条件及长期电力合同是否形成可核验订单和收入。</w:t>
            </w:r>
          </w:p>
        </w:tc>
      </w:tr>
    </w:tbl>
    <w:p>
      <w:pPr>
        <w:pStyle w:val="Heading2"/>
      </w:pPr>
      <w:r>
        <w:t>03 · A股红利地板与拥挤上限</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低折现率和长期配置需求可为高现金流、高分红资产提供条件性支撑，使其在杠铃中承担防御功能。如此构造仍有政策与利率逻辑。</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险资OCI承接并非无条件，银行及公用事业的盈利、分红和估值安全边际仍受压力；若成长去杠杆与红利拥挤同时发生，所谓杠铃可能无法有效分散风险。</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观察分红覆盖能力、盈利指引、融资余额、ETF申赎、北向资金及红利与硬科技相对成交是否同向验证。</w:t>
            </w:r>
          </w:p>
        </w:tc>
      </w:tr>
    </w:tbl>
    <w:p>
      <w:pPr>
        <w:pStyle w:val="Heading2"/>
      </w:pPr>
      <w:r>
        <w:t>04 · 低价模型扩大采用与软件利润池受压</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更低推理成本可能扩大调用量、改善企业采用门槛，并把价值从基础模型迁移至云平台、应用分发和工作流入口。</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价格下降也可能触发云服务竞争、压缩单位收入，并使资本开支和自由现金流压力先于规模效应兑现；港股平台的个股重估未必自然拓宽为指数级机会。</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观察推理调用量、付费客户转化、云收入、单位推理成本、毛利率及自由现金流是否出现量价共同改善。</w:t>
            </w:r>
          </w:p>
        </w:tc>
      </w:tr>
    </w:tbl>
    <w:p>
      <w:pPr>
        <w:pStyle w:val="Heading2"/>
      </w:pPr>
      <w:r>
        <w:t>05 · AI硬件再通胀与软件生产率去通胀的时间错位</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若企业采用率和流程重构提升，软件效率最终可能摊薄算力、能源及人工成本，并改善平台单位经济性。</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当前更直接的证据仍是资本开支、电力设备与能源约束；生产率收益可能滞后于硬件和电力成本，短期不能对冲再通胀压力。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观察企业AI付费席位、流程自动化比例、单位任务成本、软件毛利率与数据中心单位电力成本是否出现可持续改善。</w:t>
            </w:r>
          </w:p>
        </w:tc>
      </w:tr>
    </w:tbl>
    <w:p>
      <w:pPr>
        <w:pStyle w:val="Heading1"/>
      </w:pPr>
      <w:r>
        <w:t>7. 下周验证清单</w:t>
      </w:r>
    </w:p>
    <w:p>
      <w:pPr>
        <w:pStyle w:val="Heading2"/>
      </w:pPr>
      <w:r>
        <w:t>01 · 云厂商capex、云收入、backlog与利用率口径</w:t>
      </w:r>
    </w:p>
    <w:p>
      <w:pPr>
        <w:keepLines/>
      </w:pPr>
      <w:r>
        <w:rPr>
          <w:rFonts w:ascii="Calibri" w:hAnsi="Calibri" w:eastAsia="Hiragino Sans GB"/>
          <w:b w:val="0"/>
          <w:color w:val="5E6268"/>
          <w:sz w:val="22"/>
        </w:rPr>
        <w:t>这是区分“估值和仓位焦虑”与“订单及资本回报证伪”的首要信号，也直接影响AI算力半导体和Mag7平台的风险预算。</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capex指引维持或上修，同时云收入、backlog、利用率及自由现金流预期至少多数同步改善。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维持HOLD，提升AI算力半导体与资本效率较优平台的观察优先级；仅在价格确认后分批进入组合。</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资本开支继续高位运行，但云收入、backlog或利用率指引转弱，且自由现金流压力扩大。</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维持HOLD并收紧AI风险预算，优先削减高估值、低利用率或自由现金流可见度不足的暴露，保留订单更清晰的观察标的。</w:t>
            </w:r>
          </w:p>
        </w:tc>
      </w:tr>
    </w:tbl>
    <w:p>
      <w:pPr>
        <w:pStyle w:val="Heading2"/>
      </w:pPr>
      <w:r>
        <w:t>02 · A股融资余额、ETF申赎与北向资金方向一致性</w:t>
      </w:r>
    </w:p>
    <w:p>
      <w:pPr>
        <w:keepLines/>
      </w:pPr>
      <w:r>
        <w:rPr>
          <w:rFonts w:ascii="Calibri" w:hAnsi="Calibri" w:eastAsia="Hiragino Sans GB"/>
          <w:b w:val="0"/>
          <w:color w:val="5E6268"/>
          <w:sz w:val="22"/>
        </w:rPr>
        <w:t>三类可观察资金信号决定红利/硬科技杠铃是否从研究假设进入可执行阶段；当前没有市场报价数据，不能预设它们已经同向。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融资余额企稳，相关ETF持续净申购，且北向资金同步改善，随后获得价格与相对成交确认。</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维持HOLD，提高现金流稳健红利与订单可验证硬科技的候选权重，待价格确认后小步建仓。</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融资余额继续收缩，ETF承接减弱，或北向资金与ETF申赎持续背离。</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维持HOLD，降低杠铃两端总风险预算，暂停扩大硬科技暴露，并重新压力测试红利端的分红安全边际。</w:t>
            </w:r>
          </w:p>
        </w:tc>
      </w:tr>
    </w:tbl>
    <w:p>
      <w:pPr>
        <w:pStyle w:val="Heading2"/>
      </w:pPr>
      <w:r>
        <w:t>03 · 并网排队、变压器交期与已通电容量</w:t>
      </w:r>
    </w:p>
    <w:p>
      <w:pPr>
        <w:keepLines/>
      </w:pPr>
      <w:r>
        <w:rPr>
          <w:rFonts w:ascii="Calibri" w:hAnsi="Calibri" w:eastAsia="Hiragino Sans GB"/>
          <w:b w:val="0"/>
          <w:color w:val="5E6268"/>
          <w:sz w:val="22"/>
        </w:rPr>
        <w:t>这些指标决定电力稀缺能否转化为设备订单和运营资产收益，或反过来延迟AI项目兑现。</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并网等待与设备交期维持紧张，同时产能锁定、已通电项目及长期电力合同转化为可核验订单和收入。</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提高AI电力/电网设备观察优先级，并相对回避未锁定电力和冷却条件的算力项目。</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扩产显著缩短交期，或项目延期、许可和燃料约束使规划负荷无法转化为投产与收入。</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下调设备稀缺溢价假设，转向已通电、合同需求明确且自由现金流可见的运营资产，同时降低主题集中度。</w:t>
            </w:r>
          </w:p>
        </w:tc>
      </w:tr>
    </w:tbl>
    <w:p>
      <w:pPr>
        <w:pStyle w:val="Heading2"/>
      </w:pPr>
      <w:r>
        <w:t>04 · CPI/PCE、油价与实际利率的共同方向</w:t>
      </w:r>
    </w:p>
    <w:p>
      <w:pPr>
        <w:keepLines/>
      </w:pPr>
      <w:r>
        <w:rPr>
          <w:rFonts w:ascii="Calibri" w:hAnsi="Calibri" w:eastAsia="Hiragino Sans GB"/>
          <w:b w:val="0"/>
          <w:color w:val="5E6268"/>
          <w:sz w:val="22"/>
        </w:rPr>
        <w:t>该组合用于验证AI资本开支经能源和设备进入通胀定价的宏观闭环，而不是把产业瓶颈直接等同于宏观再通胀。</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CPI/PCE压力重新增强，油价维持成本推动特征，且实际利率同步上行。</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维持HOLD，降低长久期AI和高估值软件的风险预算，提升能源及通胀对冲观察腿的优先级。</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通胀指标继续缓和，油价冲击消退或转为需求破坏，实际利率未随之上行。</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维持HOLD，降低再通胀对冲权重，重新评估TLT、IEF及高质量软件的久期敏感机会，但仍需价格确认。</w:t>
            </w:r>
          </w:p>
        </w:tc>
      </w:tr>
    </w:tbl>
    <w:p>
      <w:pPr>
        <w:pStyle w:val="Heading2"/>
      </w:pPr>
      <w:r>
        <w:t>05 · 低价模型的调用量、付费转化、云收入与利润率</w:t>
      </w:r>
    </w:p>
    <w:p>
      <w:pPr>
        <w:keepLines/>
      </w:pPr>
      <w:r>
        <w:rPr>
          <w:rFonts w:ascii="Calibri" w:hAnsi="Calibri" w:eastAsia="Hiragino Sans GB"/>
          <w:b w:val="0"/>
          <w:color w:val="5E6268"/>
          <w:sz w:val="22"/>
        </w:rPr>
        <w:t>只有量、收入和利润率形成闭环，才能判断低价策略是在扩大软件利润池，还是仅把价值让渡给客户。</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推理调用量和付费客户同步增长，云收入改善，且毛利率与自由现金流未因降价继续承压。</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维持HOLD，在BABA、9988.HK、BIDU、9888.HK、0700.HK及MSFT、CRM之间提高经验证赢家的观察权重，分批试错。</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调用量增长但付费转化不足，云收入或毛利率走弱，资本开支对自由现金流的拖累扩大。</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维持HOLD，缩小低价模型主题风险预算，避免指数级外推，保留具备分发入口和现金流缓冲的平台。</w:t>
            </w:r>
          </w:p>
        </w:tc>
      </w:tr>
    </w:tbl>
    <w:p>
      <w:pPr>
        <w:pStyle w:val="Heading2"/>
      </w:pPr>
      <w:r>
        <w:t>06 · NAND与HBM的合同定价、产品结构及供给纪律</w:t>
      </w:r>
    </w:p>
    <w:p>
      <w:pPr>
        <w:keepLines/>
      </w:pPr>
      <w:r>
        <w:rPr>
          <w:rFonts w:ascii="Calibri" w:hAnsi="Calibri" w:eastAsia="Hiragino Sans GB"/>
          <w:b w:val="0"/>
          <w:color w:val="5E6268"/>
          <w:sz w:val="22"/>
        </w:rPr>
        <w:t>这些指标直接检验存储盈利弹性是否仍由价格和高价值产品结构主导，以及收益能否从GPU向存储扩散。</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合同定价保持韧性，高价值存储占比提升，库存受控且主要厂商供给指引保持纪律。</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维持HOLD，提高MU、000660.KS等存储观察标的优先级，同时控制对单一GPU beta的集中。</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新增供给加快、库存累积、合同定价转弱，或产品结构改善不足以抵消单位盈利压力。</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维持HOLD，下调存储盈利弹性假设，减少周期性暴露，并转向订单和自由现金流可见度更高的环节。</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6/6</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126</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baseline</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structured_llm</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1">
              <w:r>
                <w:rPr>
                  <w:color w:val="1D5FD1"/>
                  <w:u w:val="single"/>
                  <w:b/>
                  <w:sz w:val="16"/>
                  <w:szCs w:val="16"/>
                  <w:rFonts w:ascii="Calibri" w:hAnsi="Calibri" w:eastAsia="Hiragino Sans GB"/>
                </w:rPr>
                <w:t>2026-07-18 — 阿里云AI变现与capex/FCF拖累压力测试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AI硬件卖压外溢至亚洲半导体开盘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3">
              <w:r>
                <w:rPr>
                  <w:color w:val="1D5FD1"/>
                  <w:u w:val="single"/>
                  <w:b/>
                  <w:sz w:val="16"/>
                  <w:szCs w:val="16"/>
                  <w:rFonts w:ascii="Calibri" w:hAnsi="Calibri" w:eastAsia="Hiragino Sans GB"/>
                </w:rPr>
                <w:t>房地产与城投——点状土拍热度能否抵消总量现金流下滑？</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2026-07-18 — 险资OCI地板买盘与银行红利可持续性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0">
              <w:r>
                <w:rPr>
                  <w:color w:val="1D5FD1"/>
                  <w:u w:val="single"/>
                  <w:b/>
                  <w:sz w:val="16"/>
                  <w:szCs w:val="16"/>
                  <w:rFonts w:ascii="Calibri" w:hAnsi="Calibri" w:eastAsia="Hiragino Sans GB"/>
                </w:rPr>
                <w:t>AI Capex 路径分化：从芯片驱动到内制芯片与"算力即可交易资产"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0.50%票据利率下限对A股红利资产低折现率定价的持续性评估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0">
              <w:r>
                <w:rPr>
                  <w:color w:val="1D5FD1"/>
                  <w:u w:val="single"/>
                  <w:b/>
                  <w:sz w:val="16"/>
                  <w:szCs w:val="16"/>
                  <w:rFonts w:ascii="Calibri" w:hAnsi="Calibri" w:eastAsia="Hiragino Sans GB"/>
                </w:rPr>
                <w:t>2026-07-18 — 合并成长去杠杆风险与受限红利地板后的A股风格权重结论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6">
              <w:r>
                <w:rPr>
                  <w:color w:val="1D5FD1"/>
                  <w:u w:val="single"/>
                  <w:b/>
                  <w:sz w:val="16"/>
                  <w:szCs w:val="16"/>
                  <w:rFonts w:ascii="Calibri" w:hAnsi="Calibri" w:eastAsia="Hiragino Sans GB"/>
                </w:rPr>
                <w:t>2026-07-18 — 恒生科技：整体上调篮子，还是个股精选式重估？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4">
              <w:r>
                <w:rPr>
                  <w:color w:val="1D5FD1"/>
                  <w:u w:val="single"/>
                  <w:b/>
                  <w:sz w:val="16"/>
                  <w:szCs w:val="16"/>
                  <w:rFonts w:ascii="Calibri" w:hAnsi="Calibri" w:eastAsia="Hiragino Sans GB"/>
                </w:rPr>
                <w:t>65/35 AI 芯片杠铃的事件前最终订单集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5">
              <w:r>
                <w:rPr>
                  <w:color w:val="1D5FD1"/>
                  <w:u w:val="single"/>
                  <w:b/>
                  <w:sz w:val="16"/>
                  <w:szCs w:val="16"/>
                  <w:rFonts w:ascii="Calibri" w:hAnsi="Calibri" w:eastAsia="Hiragino Sans GB"/>
                </w:rPr>
                <w:t>Apple中国AI获批之后：港股平台、Apple中国份额、A股换机链，谁先重估？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ETF托底能否吸收A股两融去杠杆？</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前序研究 — USD/JPY触发带与日元carry平仓阈值校准</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套息平仓与 CNH 走弱共振下的 A 股提款机效应与防御配置策略研究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油价再冲击下的 CNH 压力区与人行降息窗口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量化能源权益对冲腿——在可接受 carry 下提供正油价 beta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2026-07-18 亚洲半导体链敏感度：为2026-07-29利用率/ROI冲击构建的"双时钟"排序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2026-07-18 研究记录06：长鑫科技IPO与国产存储的局部重估可能</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2026-07-18 研究记录07：长鑫科技、科创硬科技资金与流动性配给压力测试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2">
              <w:r>
                <w:rPr>
                  <w:color w:val="1D5FD1"/>
                  <w:u w:val="single"/>
                  <w:b/>
                  <w:sz w:val="16"/>
                  <w:szCs w:val="16"/>
                  <w:rFonts w:ascii="Calibri" w:hAnsi="Calibri" w:eastAsia="Hiragino Sans GB"/>
                </w:rPr>
                <w:t>A股AI电力袖珍组合的宏观闭环：国内负荷是否真实，容量电价传导是否印证通胀粘性哑铃？ — 工作日...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th T07 三条腿的实证检验 — A股AI硬件篮子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压力测试13%火电灵活性仓位：容量电价、辅助服务、煤价传导，还是迁往受监管公用事业/高股息防御？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2026-07-18｜AI基础设施压力测试：capex、GPU集群利用率与电力约束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电力与电网瓶颈已成为 AI 算力的稀缺期权 - 工作日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AI电力瓶颈袖珍组合的A股落地 - 工作日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A股风格轮动：成交量与融资买入约束下的创新药与红利资产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截至2026-07-18的AI电力电网稀缺A股最终篮子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工业通胀偏硬情景下CNH、EUR、JPY与EMFX的排序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能源冲击、美元走强与亚洲央行的政策边界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A股与H股出海创新药企业及Biotech的BD交易估值重构与管线催化剂分析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从可融资储能收入堆栈到组合权重（工作日：2026-07-18）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2026-07-18 每日综合：电力稀缺从设备交期升级为成本分配与算力兑现问题</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两条资金流的微观结构：ETF流入的资金属性与两融剩余去化空间</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流动性信号还是拥挤出清？——1723亿、11日的A股两融去杠杆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红利ETF申赎、两融余额与相对成交触发器核验 — 工作日期：2026-07-18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2026-07-18：+600 bps AI电力篮子的因子与拥挤度监控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电力市场设计如何把配储从强制资本开支变成可融资收入（工作日：2026-07-18）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ETF托底、两融去杠杆、跨资产对冲与USD/CNY传导的终审风控质检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外汇防御与两融去杠杆共振下的A股防线排序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3">
              <w:r>
                <w:rPr>
                  <w:color w:val="1D5FD1"/>
                  <w:u w:val="single"/>
                  <w:b/>
                  <w:sz w:val="16"/>
                  <w:szCs w:val="16"/>
                  <w:rFonts w:ascii="Calibri" w:hAnsi="Calibri" w:eastAsia="Hiragino Sans GB"/>
                </w:rPr>
                <w:t>国内流动性、政策与南向资金持续性，能否把港股平台AI重估拓宽为恒生科技指数级篮子行情？</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2026-07-18 AI 基础设施观点：Hyperscaler 可以降低公用事业费率暴露，但前提是在容量锁定前行动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A股AI硬件轮动配置手册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券商两融风控与净资本约束：卖券还款链条的放大与缓释机制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成长领导力下的资金再分配：什么样的持仓/两融/解禁机制会逼出资金从科技成长回流财政托底价值复合...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research thread Brief</w:t>
              </w:r>
            </w:hyperlink>
            <w:r>
              <w:rPr>
                <w:rFonts w:ascii="Calibri" w:hAnsi="Calibri" w:eastAsia="Hiragino Sans GB"/>
                <w:color w:val="5E6268"/>
                <w:sz w:val="14"/>
              </w:rPr>
              <w:br/>
              <w:t>未识别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support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电网设备与大型电力变压器（LPT）OEM：约18亿美元扩产能否在2028年前填平缺口，还是结构性稀缺把多...</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首席策略师：盈利已确认、估值在去杠杆——科技主线要减配吗？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2026-07-17 AI 数据中心订单对光模块与国产算力芯片的压力测试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2026-07-17 TMT研究记录：AI内存/HBM供应链重定价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2026-07-17 压力测试：把A股哑铃组合从名义权重改写为风险预算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房地产行业午间同步简报（2026-07-17）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点状高热 vs. 结构性现金流下滑：核心城市土拍与城投信用的再解读</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压力测试：配电网扩容与冷却水获取能否匹配高密度算力增长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2026-07-17 宏观压力测试：油价/Hormuz 冲击如何传导至美国通胀预期、国债实际利率与 AI 基础设施...</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2026-07-17 策略卡：油价与实际利率压力下的 AI 基础设施配置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A股硬科技：把FCF一档定价为质量成长延续，把芯片故事与指数一档定价为拥挤下修风险 — 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WAIC后A股硬科技市场结构与两融止跌验证（2026-07-17）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三种Brent/联储路径下的跨资产配置手册，2026-07-17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双情景跨资产手册落地A股：国内货币/政策是缓冲还是放大输入型AI信用-利率冲击？</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AI 基础设施：窄化的交易——从 GPU Beta 转向电力、HBM 与融资约束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2026-07-17 AI基础设施业绩桥验证：光模块与PCB/CCL</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压力测试剩余溢价：ADR溢价正常化后，HBM4认证、TSV/先进封装、Samsung–Micron追赶与买方集中度还...</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HBM/CoWoS 供应链产能缺口分析（压力测试）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量化A股成长去杠杆的自我强化风险：科创50 1750/1720 Delta级联与两融强平螺旋</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电力可交付性与并网瓶颈会推迟2027年GPU集群投产吗？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2026-07-17 首席策略师研究记录：将Nvidia交付周期压力转化为AI硬件beta配置框架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农业行业午间同步简报（2026-07-17）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AI算力基础设施的电力与电网瓶颈，2026-07-17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7月FOMC与6月PCE后的美元和全球流动性传导 - 2026-07-17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油价冲击向美联储反应函数与利率的二阶传导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美联储/利率压力测试后重估跨资产杠铃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2026-07-17 - AI基础设施瓶颈：电力接入与液冷系统正在超过GPU稀缺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2026-07-17 - DXY 强势：利差、避险与仓位分解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电网与储能将光伏/风电从“装机竞赛”推向“系统价值竞赛”（工作日：2026-07-17）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2026-07-17 策略卡（既有研究记录）：35-40 流动性封顶区间内的 A 股 AI 基础设施筛选</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创新药alpha发动机：可持续，但不是宽基beta — 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油价-通胀-利率反馈对 AI 芯片杠铃组合的二阶压力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农产品产业链——低覆盖标的与最具论点价值的布局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境内硬科技：安全的轮动目的地，还是最脆弱的高久期一档？ — 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7">
              <w:r>
                <w:rPr>
                  <w:color w:val="1D5FD1"/>
                  <w:u w:val="single"/>
                  <w:b/>
                  <w:sz w:val="16"/>
                  <w:szCs w:val="16"/>
                  <w:rFonts w:ascii="Calibri" w:hAnsi="Calibri" w:eastAsia="Hiragino Sans GB"/>
                </w:rPr>
                <w:t>A股半导体订单验证清单：谁能穿越橙色信用/估值冲击？</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2026-07-17</w:t>
            </w:r>
          </w:p>
        </w:tc>
        <w:tc>
          <w:tcPr>
            <w:tcW w:type="dxa" w:w="5940"/>
            <w:tcMar>
              <w:top w:w="80" w:type="dxa"/>
              <w:bottom w:w="80" w:type="dxa"/>
              <w:start w:w="120" w:type="dxa"/>
              <w:end w:w="120" w:type="dxa"/>
            </w:tcMar>
          </w:tcPr>
          <w:p>
            <w:pPr>
              <w:spacing w:after="20"/>
            </w:pPr>
            <w:hyperlink r:id="rId138">
              <w:r>
                <w:rPr>
                  <w:color w:val="1D5FD1"/>
                  <w:u w:val="single"/>
                  <w:b/>
                  <w:sz w:val="16"/>
                  <w:szCs w:val="16"/>
                  <w:rFonts w:ascii="Calibri" w:hAnsi="Calibri" w:eastAsia="Hiragino Sans GB"/>
                </w:rPr>
                <w:t>A股科技主线权重与两融拥挤度执行清单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29/" TargetMode="External"/><Relationship Id="rId12" Type="http://schemas.openxmlformats.org/officeDocument/2006/relationships/hyperlink" Target="https://vibe-alpha-three.vercel.app/investor/lanes/a-share-dividend-and-hard-tech-barbell/" TargetMode="External"/><Relationship Id="rId13" Type="http://schemas.openxmlformats.org/officeDocument/2006/relationships/hyperlink" Target="https://vibe-alpha-three.vercel.app/investor/lanes/ai-reflation-and-rate-sensitive-assets/" TargetMode="External"/><Relationship Id="rId14" Type="http://schemas.openxmlformats.org/officeDocument/2006/relationships/hyperlink" Target="https://vibe-alpha-three.vercel.app/investor/lanes/ai-compute-semiconductors/" TargetMode="External"/><Relationship Id="rId15" Type="http://schemas.openxmlformats.org/officeDocument/2006/relationships/hyperlink" Target="https://vibe-alpha-three.vercel.app/investor/lanes/mag7-ai-platform-re-layering/" TargetMode="External"/><Relationship Id="rId16" Type="http://schemas.openxmlformats.org/officeDocument/2006/relationships/hyperlink" Target="https://vibe-alpha-three.vercel.app/investor/lanes/ai-software-productivity/" TargetMode="External"/><Relationship Id="rId17" Type="http://schemas.openxmlformats.org/officeDocument/2006/relationships/hyperlink" Target="https://vibe-alpha-three.vercel.app/investor/lanes/low-cost-models-and-ai-software-profit-pools/" TargetMode="External"/><Relationship Id="rId18" Type="http://schemas.openxmlformats.org/officeDocument/2006/relationships/hyperlink" Target="https://vibe-alpha-three.vercel.app/investor/reports/archive-277821f7831b/" TargetMode="External"/><Relationship Id="rId19" Type="http://schemas.openxmlformats.org/officeDocument/2006/relationships/hyperlink" Target="https://vibe-alpha-three.vercel.app/investor/reports/archive-2176cf4e8a85/" TargetMode="External"/><Relationship Id="rId20" Type="http://schemas.openxmlformats.org/officeDocument/2006/relationships/hyperlink" Target="https://vibe-alpha-three.vercel.app/investor/reports/archive-93cee5f1552a/" TargetMode="External"/><Relationship Id="rId21" Type="http://schemas.openxmlformats.org/officeDocument/2006/relationships/hyperlink" Target="https://vibe-alpha-three.vercel.app/investor/theses/thesis-70daf87262/" TargetMode="External"/><Relationship Id="rId22" Type="http://schemas.openxmlformats.org/officeDocument/2006/relationships/hyperlink" Target="https://vibe-alpha-three.vercel.app/investor/reports/archive-cb763f3e603a/" TargetMode="External"/><Relationship Id="rId23" Type="http://schemas.openxmlformats.org/officeDocument/2006/relationships/hyperlink" Target="https://vibe-alpha-three.vercel.app/investor/reports/archive-75daf0f41db8/" TargetMode="External"/><Relationship Id="rId24" Type="http://schemas.openxmlformats.org/officeDocument/2006/relationships/hyperlink" Target="https://vibe-alpha-three.vercel.app/investor/reports/archive-6f981a2ff916/" TargetMode="External"/><Relationship Id="rId25" Type="http://schemas.openxmlformats.org/officeDocument/2006/relationships/hyperlink" Target="https://vibe-alpha-three.vercel.app/investor/theses/thesis-075017003b/" TargetMode="External"/><Relationship Id="rId26" Type="http://schemas.openxmlformats.org/officeDocument/2006/relationships/hyperlink" Target="https://vibe-alpha-three.vercel.app/investor/reports/archive-f391baebe2cc/" TargetMode="External"/><Relationship Id="rId27" Type="http://schemas.openxmlformats.org/officeDocument/2006/relationships/hyperlink" Target="https://vibe-alpha-three.vercel.app/investor/reports/archive-aa05454045e1/" TargetMode="External"/><Relationship Id="rId28" Type="http://schemas.openxmlformats.org/officeDocument/2006/relationships/hyperlink" Target="https://vibe-alpha-three.vercel.app/investor/reports/archive-5fd507219068/" TargetMode="External"/><Relationship Id="rId29" Type="http://schemas.openxmlformats.org/officeDocument/2006/relationships/hyperlink" Target="https://vibe-alpha-three.vercel.app/investor/theses/thesis-b976d8330e/" TargetMode="External"/><Relationship Id="rId30" Type="http://schemas.openxmlformats.org/officeDocument/2006/relationships/hyperlink" Target="https://vibe-alpha-three.vercel.app/investor/reports/archive-4dc6c3abc562/" TargetMode="External"/><Relationship Id="rId31" Type="http://schemas.openxmlformats.org/officeDocument/2006/relationships/hyperlink" Target="https://vibe-alpha-three.vercel.app/investor/reports/archive-b73180534438/" TargetMode="External"/><Relationship Id="rId32" Type="http://schemas.openxmlformats.org/officeDocument/2006/relationships/hyperlink" Target="https://vibe-alpha-three.vercel.app/investor/theses/thesis-8c5a9690a0/" TargetMode="External"/><Relationship Id="rId33" Type="http://schemas.openxmlformats.org/officeDocument/2006/relationships/hyperlink" Target="https://vibe-alpha-three.vercel.app/investor/reports/archive-bcb6104b49e7/" TargetMode="External"/><Relationship Id="rId34" Type="http://schemas.openxmlformats.org/officeDocument/2006/relationships/hyperlink" Target="https://vibe-alpha-three.vercel.app/investor/theses/thesis-9d3836cc07/" TargetMode="External"/><Relationship Id="rId35" Type="http://schemas.openxmlformats.org/officeDocument/2006/relationships/hyperlink" Target="https://vibe-alpha-three.vercel.app/investor/reports/archive-346a9dc6263c/" TargetMode="External"/><Relationship Id="rId36" Type="http://schemas.openxmlformats.org/officeDocument/2006/relationships/hyperlink" Target="https://vibe-alpha-three.vercel.app/investor/reports/archive-ec0ba624463e/" TargetMode="External"/><Relationship Id="rId37" Type="http://schemas.openxmlformats.org/officeDocument/2006/relationships/hyperlink" Target="https://vibe-alpha-three.vercel.app/investor/theses/thesis-ab1fb6a453/" TargetMode="External"/><Relationship Id="rId38" Type="http://schemas.openxmlformats.org/officeDocument/2006/relationships/hyperlink" Target="https://vibe-alpha-three.vercel.app/investor/stocks/510880.SH/" TargetMode="External"/><Relationship Id="rId39" Type="http://schemas.openxmlformats.org/officeDocument/2006/relationships/hyperlink" Target="https://vibe-alpha-three.vercel.app/investor/stocks/600900.SH/" TargetMode="External"/><Relationship Id="rId40" Type="http://schemas.openxmlformats.org/officeDocument/2006/relationships/hyperlink" Target="https://vibe-alpha-three.vercel.app/investor/stocks/601398.SH/" TargetMode="External"/><Relationship Id="rId41" Type="http://schemas.openxmlformats.org/officeDocument/2006/relationships/hyperlink" Target="https://vibe-alpha-three.vercel.app/investor/stocks/588000.SH/" TargetMode="External"/><Relationship Id="rId42" Type="http://schemas.openxmlformats.org/officeDocument/2006/relationships/hyperlink" Target="https://vibe-alpha-three.vercel.app/investor/stocks/688981.SH/" TargetMode="External"/><Relationship Id="rId43" Type="http://schemas.openxmlformats.org/officeDocument/2006/relationships/hyperlink" Target="https://vibe-alpha-three.vercel.app/investor/stocks/NVDA/" TargetMode="External"/><Relationship Id="rId44" Type="http://schemas.openxmlformats.org/officeDocument/2006/relationships/hyperlink" Target="https://vibe-alpha-three.vercel.app/investor/stocks/TSM/" TargetMode="External"/><Relationship Id="rId45" Type="http://schemas.openxmlformats.org/officeDocument/2006/relationships/hyperlink" Target="https://vibe-alpha-three.vercel.app/investor/stocks/MU/" TargetMode="External"/><Relationship Id="rId46" Type="http://schemas.openxmlformats.org/officeDocument/2006/relationships/hyperlink" Target="https://vibe-alpha-three.vercel.app/investor/stocks/000660.KS/" TargetMode="External"/><Relationship Id="rId47" Type="http://schemas.openxmlformats.org/officeDocument/2006/relationships/hyperlink" Target="https://vibe-alpha-three.vercel.app/investor/stocks/AMD/" TargetMode="External"/><Relationship Id="rId48" Type="http://schemas.openxmlformats.org/officeDocument/2006/relationships/hyperlink" Target="https://vibe-alpha-three.vercel.app/investor/stocks/AVGO/" TargetMode="External"/><Relationship Id="rId49" Type="http://schemas.openxmlformats.org/officeDocument/2006/relationships/hyperlink" Target="https://vibe-alpha-three.vercel.app/investor/stocks/META/" TargetMode="External"/><Relationship Id="rId50" Type="http://schemas.openxmlformats.org/officeDocument/2006/relationships/hyperlink" Target="https://vibe-alpha-three.vercel.app/investor/stocks/MSFT/" TargetMode="External"/><Relationship Id="rId51" Type="http://schemas.openxmlformats.org/officeDocument/2006/relationships/hyperlink" Target="https://vibe-alpha-three.vercel.app/investor/stocks/AMZN/" TargetMode="External"/><Relationship Id="rId52" Type="http://schemas.openxmlformats.org/officeDocument/2006/relationships/hyperlink" Target="https://vibe-alpha-three.vercel.app/investor/stocks/GOOGL/" TargetMode="External"/><Relationship Id="rId53" Type="http://schemas.openxmlformats.org/officeDocument/2006/relationships/hyperlink" Target="https://vibe-alpha-three.vercel.app/investor/stocks/GEV/" TargetMode="External"/><Relationship Id="rId54" Type="http://schemas.openxmlformats.org/officeDocument/2006/relationships/hyperlink" Target="https://vibe-alpha-three.vercel.app/investor/stocks/ETN/" TargetMode="External"/><Relationship Id="rId55" Type="http://schemas.openxmlformats.org/officeDocument/2006/relationships/hyperlink" Target="https://vibe-alpha-three.vercel.app/investor/stocks/600089.SH/" TargetMode="External"/><Relationship Id="rId56" Type="http://schemas.openxmlformats.org/officeDocument/2006/relationships/hyperlink" Target="https://vibe-alpha-three.vercel.app/investor/stocks/002028.SZ/" TargetMode="External"/><Relationship Id="rId57" Type="http://schemas.openxmlformats.org/officeDocument/2006/relationships/hyperlink" Target="https://vibe-alpha-three.vercel.app/investor/stocks/XLE/" TargetMode="External"/><Relationship Id="rId58" Type="http://schemas.openxmlformats.org/officeDocument/2006/relationships/hyperlink" Target="https://vibe-alpha-three.vercel.app/investor/stocks/TLT/" TargetMode="External"/><Relationship Id="rId59" Type="http://schemas.openxmlformats.org/officeDocument/2006/relationships/hyperlink" Target="https://vibe-alpha-three.vercel.app/investor/stocks/GLD/" TargetMode="External"/><Relationship Id="rId60" Type="http://schemas.openxmlformats.org/officeDocument/2006/relationships/hyperlink" Target="https://vibe-alpha-three.vercel.app/investor/stocks/NOW/" TargetMode="External"/><Relationship Id="rId61" Type="http://schemas.openxmlformats.org/officeDocument/2006/relationships/hyperlink" Target="https://vibe-alpha-three.vercel.app/investor/stocks/CRM/" TargetMode="External"/><Relationship Id="rId62" Type="http://schemas.openxmlformats.org/officeDocument/2006/relationships/hyperlink" Target="https://vibe-alpha-three.vercel.app/investor/stocks/ADBE/" TargetMode="External"/><Relationship Id="rId63" Type="http://schemas.openxmlformats.org/officeDocument/2006/relationships/hyperlink" Target="https://vibe-alpha-three.vercel.app/investor/lanes/a-share-semiconductor-margin-and-negative-gamma/" TargetMode="External"/><Relationship Id="rId64" Type="http://schemas.openxmlformats.org/officeDocument/2006/relationships/hyperlink" Target="https://vibe-alpha-three.vercel.app/investor/lanes/a-share-risk-appetite-and-margin/" TargetMode="External"/><Relationship Id="rId65" Type="http://schemas.openxmlformats.org/officeDocument/2006/relationships/hyperlink" Target="https://vibe-alpha-three.vercel.app/investor/lanes/advanced-packaging-and-hbm4-gate/" TargetMode="External"/><Relationship Id="rId66" Type="http://schemas.openxmlformats.org/officeDocument/2006/relationships/hyperlink" Target="https://vibe-alpha-three.vercel.app/investor/lanes/ai-power-and-grid-equipment/" TargetMode="External"/><Relationship Id="rId67" Type="http://schemas.openxmlformats.org/officeDocument/2006/relationships/hyperlink" Target="https://vibe-alpha-three.vercel.app/investor/lanes/oil-gas-and-geopolitical-inflation/" TargetMode="External"/><Relationship Id="rId68" Type="http://schemas.openxmlformats.org/officeDocument/2006/relationships/hyperlink" Target="https://vibe-alpha-three.vercel.app/investor/lanes/us-rates-and-dollar-repricing/" TargetMode="External"/><Relationship Id="rId69" Type="http://schemas.openxmlformats.org/officeDocument/2006/relationships/hyperlink" Target="https://vibe-alpha-three.vercel.app/investor/lanes/utilities-grid-rate-base-and-credit/" TargetMode="External"/><Relationship Id="rId70" Type="http://schemas.openxmlformats.org/officeDocument/2006/relationships/hyperlink" Target="https://vibe-alpha-three.vercel.app/investor/lanes/china-healthcare-and-overseas-innovation-drug-monetization/" TargetMode="External"/><Relationship Id="rId71" Type="http://schemas.openxmlformats.org/officeDocument/2006/relationships/hyperlink" Target="https://vibe-alpha-three.vercel.app/investor/lanes/a-share-hard-tech-and-star50/" TargetMode="External"/><Relationship Id="rId72" Type="http://schemas.openxmlformats.org/officeDocument/2006/relationships/hyperlink" Target="https://vibe-alpha-three.vercel.app/investor/lanes/food-processing-and-input-cost-transmission/" TargetMode="External"/><Relationship Id="rId73" Type="http://schemas.openxmlformats.org/officeDocument/2006/relationships/hyperlink" Target="https://vibe-alpha-three.vercel.app/investor/reports/archive-1ca275f57536/" TargetMode="External"/><Relationship Id="rId74" Type="http://schemas.openxmlformats.org/officeDocument/2006/relationships/hyperlink" Target="https://vibe-alpha-three.vercel.app/investor/reports/archive-9823ea57e753/" TargetMode="External"/><Relationship Id="rId75" Type="http://schemas.openxmlformats.org/officeDocument/2006/relationships/hyperlink" Target="https://vibe-alpha-three.vercel.app/investor/reports/archive-8cce81498e6e/" TargetMode="External"/><Relationship Id="rId76" Type="http://schemas.openxmlformats.org/officeDocument/2006/relationships/hyperlink" Target="https://vibe-alpha-three.vercel.app/investor/reports/archive-f89a9169c7c4/" TargetMode="External"/><Relationship Id="rId77" Type="http://schemas.openxmlformats.org/officeDocument/2006/relationships/hyperlink" Target="https://vibe-alpha-three.vercel.app/investor/reports/archive-386d76731168/" TargetMode="External"/><Relationship Id="rId78" Type="http://schemas.openxmlformats.org/officeDocument/2006/relationships/hyperlink" Target="https://vibe-alpha-three.vercel.app/investor/reports/archive-dda9f9e00532/" TargetMode="External"/><Relationship Id="rId79" Type="http://schemas.openxmlformats.org/officeDocument/2006/relationships/hyperlink" Target="https://vibe-alpha-three.vercel.app/investor/reports/archive-888d7303dbb9/" TargetMode="External"/><Relationship Id="rId80" Type="http://schemas.openxmlformats.org/officeDocument/2006/relationships/hyperlink" Target="https://vibe-alpha-three.vercel.app/investor/reports/archive-089aafadd25b/" TargetMode="External"/><Relationship Id="rId81" Type="http://schemas.openxmlformats.org/officeDocument/2006/relationships/hyperlink" Target="https://vibe-alpha-three.vercel.app/investor/reports/archive-2f3a1a6c2bcd/" TargetMode="External"/><Relationship Id="rId82" Type="http://schemas.openxmlformats.org/officeDocument/2006/relationships/hyperlink" Target="https://vibe-alpha-three.vercel.app/investor/reports/archive-2cb152fe3cf3/" TargetMode="External"/><Relationship Id="rId83" Type="http://schemas.openxmlformats.org/officeDocument/2006/relationships/hyperlink" Target="https://vibe-alpha-three.vercel.app/investor/reports/archive-1e9f3da9f615/" TargetMode="External"/><Relationship Id="rId84" Type="http://schemas.openxmlformats.org/officeDocument/2006/relationships/hyperlink" Target="https://vibe-alpha-three.vercel.app/investor/reports/archive-0393a9c38ffb/" TargetMode="External"/><Relationship Id="rId85" Type="http://schemas.openxmlformats.org/officeDocument/2006/relationships/hyperlink" Target="https://vibe-alpha-three.vercel.app/investor/reports/archive-ed961868b6d8/" TargetMode="External"/><Relationship Id="rId86" Type="http://schemas.openxmlformats.org/officeDocument/2006/relationships/hyperlink" Target="https://vibe-alpha-three.vercel.app/investor/reports/archive-39a0a4fdc12b/" TargetMode="External"/><Relationship Id="rId87" Type="http://schemas.openxmlformats.org/officeDocument/2006/relationships/hyperlink" Target="https://vibe-alpha-three.vercel.app/investor/reports/archive-ec7a29a7a30c/" TargetMode="External"/><Relationship Id="rId88" Type="http://schemas.openxmlformats.org/officeDocument/2006/relationships/hyperlink" Target="https://vibe-alpha-three.vercel.app/investor/reports/archive-943c24f7b63a/" TargetMode="External"/><Relationship Id="rId89" Type="http://schemas.openxmlformats.org/officeDocument/2006/relationships/hyperlink" Target="https://vibe-alpha-three.vercel.app/investor/reports/archive-0af3aae52d3d/" TargetMode="External"/><Relationship Id="rId90" Type="http://schemas.openxmlformats.org/officeDocument/2006/relationships/hyperlink" Target="https://vibe-alpha-three.vercel.app/investor/reports/archive-8c99e8f369d7/" TargetMode="External"/><Relationship Id="rId91" Type="http://schemas.openxmlformats.org/officeDocument/2006/relationships/hyperlink" Target="https://vibe-alpha-three.vercel.app/investor/reports/reader-daily-reader-2026-07-18/" TargetMode="External"/><Relationship Id="rId92" Type="http://schemas.openxmlformats.org/officeDocument/2006/relationships/hyperlink" Target="https://vibe-alpha-three.vercel.app/investor/reports/archive-dadcea40bdda/" TargetMode="External"/><Relationship Id="rId93" Type="http://schemas.openxmlformats.org/officeDocument/2006/relationships/hyperlink" Target="https://vibe-alpha-three.vercel.app/investor/reports/archive-96f8e04552d5/" TargetMode="External"/><Relationship Id="rId94" Type="http://schemas.openxmlformats.org/officeDocument/2006/relationships/hyperlink" Target="https://vibe-alpha-three.vercel.app/investor/reports/archive-12f916077d7c/" TargetMode="External"/><Relationship Id="rId95" Type="http://schemas.openxmlformats.org/officeDocument/2006/relationships/hyperlink" Target="https://vibe-alpha-three.vercel.app/investor/reports/archive-c2ebdfb52193/" TargetMode="External"/><Relationship Id="rId96" Type="http://schemas.openxmlformats.org/officeDocument/2006/relationships/hyperlink" Target="https://vibe-alpha-three.vercel.app/investor/reports/archive-f065da14ff15/" TargetMode="External"/><Relationship Id="rId97" Type="http://schemas.openxmlformats.org/officeDocument/2006/relationships/hyperlink" Target="https://vibe-alpha-three.vercel.app/investor/reports/archive-426911da25d3/" TargetMode="External"/><Relationship Id="rId98" Type="http://schemas.openxmlformats.org/officeDocument/2006/relationships/hyperlink" Target="https://vibe-alpha-three.vercel.app/investor/reports/archive-18c4061278ad/" TargetMode="External"/><Relationship Id="rId99" Type="http://schemas.openxmlformats.org/officeDocument/2006/relationships/hyperlink" Target="https://vibe-alpha-three.vercel.app/investor/reports/archive-e09a82668ae6/" TargetMode="External"/><Relationship Id="rId100" Type="http://schemas.openxmlformats.org/officeDocument/2006/relationships/hyperlink" Target="https://vibe-alpha-three.vercel.app/investor/reports/archive-a20fa350cc5e/" TargetMode="External"/><Relationship Id="rId101" Type="http://schemas.openxmlformats.org/officeDocument/2006/relationships/hyperlink" Target="https://vibe-alpha-three.vercel.app/investor/reports/archive-446084bb28ef/" TargetMode="External"/><Relationship Id="rId102" Type="http://schemas.openxmlformats.org/officeDocument/2006/relationships/hyperlink" Target="https://vibe-alpha-three.vercel.app/investor/reports/archive-44df2bd0b288/" TargetMode="External"/><Relationship Id="rId103" Type="http://schemas.openxmlformats.org/officeDocument/2006/relationships/hyperlink" Target="https://vibe-alpha-three.vercel.app/investor/reports/archive-5da76a20c4ee/" TargetMode="External"/><Relationship Id="rId104" Type="http://schemas.openxmlformats.org/officeDocument/2006/relationships/hyperlink" Target="https://vibe-alpha-three.vercel.app/investor/reports/archive-623f725af36d/" TargetMode="External"/><Relationship Id="rId105" Type="http://schemas.openxmlformats.org/officeDocument/2006/relationships/hyperlink" Target="https://vibe-alpha-three.vercel.app/investor/reports/archive-b7c4a0aa3f01/" TargetMode="External"/><Relationship Id="rId106" Type="http://schemas.openxmlformats.org/officeDocument/2006/relationships/hyperlink" Target="https://vibe-alpha-three.vercel.app/investor/reports/archive-2ce9b2ec90bd/" TargetMode="External"/><Relationship Id="rId107" Type="http://schemas.openxmlformats.org/officeDocument/2006/relationships/hyperlink" Target="https://vibe-alpha-three.vercel.app/investor/reports/archive-52cc5af93685/" TargetMode="External"/><Relationship Id="rId108" Type="http://schemas.openxmlformats.org/officeDocument/2006/relationships/hyperlink" Target="https://vibe-alpha-three.vercel.app/investor/reports/archive-ef8c2d7e7788/" TargetMode="External"/><Relationship Id="rId109" Type="http://schemas.openxmlformats.org/officeDocument/2006/relationships/hyperlink" Target="https://vibe-alpha-three.vercel.app/investor/reports/archive-69d21c2bf020/" TargetMode="External"/><Relationship Id="rId110" Type="http://schemas.openxmlformats.org/officeDocument/2006/relationships/hyperlink" Target="https://vibe-alpha-three.vercel.app/investor/reports/archive-4228612175f1/" TargetMode="External"/><Relationship Id="rId111" Type="http://schemas.openxmlformats.org/officeDocument/2006/relationships/hyperlink" Target="https://vibe-alpha-three.vercel.app/investor/reports/archive-68228a8f0cfd/" TargetMode="External"/><Relationship Id="rId112" Type="http://schemas.openxmlformats.org/officeDocument/2006/relationships/hyperlink" Target="https://vibe-alpha-three.vercel.app/investor/reports/archive-7cb26bbea96c/" TargetMode="External"/><Relationship Id="rId113" Type="http://schemas.openxmlformats.org/officeDocument/2006/relationships/hyperlink" Target="https://vibe-alpha-three.vercel.app/investor/reports/archive-0b4323684eaa/" TargetMode="External"/><Relationship Id="rId114" Type="http://schemas.openxmlformats.org/officeDocument/2006/relationships/hyperlink" Target="https://vibe-alpha-three.vercel.app/investor/reports/archive-a9fe1c05769b/" TargetMode="External"/><Relationship Id="rId115" Type="http://schemas.openxmlformats.org/officeDocument/2006/relationships/hyperlink" Target="https://vibe-alpha-three.vercel.app/investor/reports/archive-fd1f748673ad/" TargetMode="External"/><Relationship Id="rId116" Type="http://schemas.openxmlformats.org/officeDocument/2006/relationships/hyperlink" Target="https://vibe-alpha-three.vercel.app/investor/reports/archive-774396270ae0/" TargetMode="External"/><Relationship Id="rId117" Type="http://schemas.openxmlformats.org/officeDocument/2006/relationships/hyperlink" Target="https://vibe-alpha-three.vercel.app/investor/reports/archive-d496ce237d7f/" TargetMode="External"/><Relationship Id="rId118" Type="http://schemas.openxmlformats.org/officeDocument/2006/relationships/hyperlink" Target="https://vibe-alpha-three.vercel.app/investor/reports/archive-c65827a2015b/" TargetMode="External"/><Relationship Id="rId119" Type="http://schemas.openxmlformats.org/officeDocument/2006/relationships/hyperlink" Target="https://vibe-alpha-three.vercel.app/investor/reports/archive-d36dc6c47a35/" TargetMode="External"/><Relationship Id="rId120" Type="http://schemas.openxmlformats.org/officeDocument/2006/relationships/hyperlink" Target="https://vibe-alpha-three.vercel.app/investor/reports/archive-1d6869855783/" TargetMode="External"/><Relationship Id="rId121" Type="http://schemas.openxmlformats.org/officeDocument/2006/relationships/hyperlink" Target="https://vibe-alpha-three.vercel.app/investor/reports/archive-89d0c2bce5f2/" TargetMode="External"/><Relationship Id="rId122" Type="http://schemas.openxmlformats.org/officeDocument/2006/relationships/hyperlink" Target="https://vibe-alpha-three.vercel.app/investor/reports/archive-a3c3524e2578/" TargetMode="External"/><Relationship Id="rId123" Type="http://schemas.openxmlformats.org/officeDocument/2006/relationships/hyperlink" Target="https://vibe-alpha-three.vercel.app/investor/reports/archive-63a378eb1f6c/" TargetMode="External"/><Relationship Id="rId124" Type="http://schemas.openxmlformats.org/officeDocument/2006/relationships/hyperlink" Target="https://vibe-alpha-three.vercel.app/investor/reports/archive-a0e66104b282/" TargetMode="External"/><Relationship Id="rId125" Type="http://schemas.openxmlformats.org/officeDocument/2006/relationships/hyperlink" Target="https://vibe-alpha-three.vercel.app/investor/reports/archive-a9e2e8b1692f/" TargetMode="External"/><Relationship Id="rId126" Type="http://schemas.openxmlformats.org/officeDocument/2006/relationships/hyperlink" Target="https://vibe-alpha-three.vercel.app/investor/reports/archive-e0d06012d533/" TargetMode="External"/><Relationship Id="rId127" Type="http://schemas.openxmlformats.org/officeDocument/2006/relationships/hyperlink" Target="https://vibe-alpha-three.vercel.app/investor/reports/archive-87942c0b3188/" TargetMode="External"/><Relationship Id="rId128" Type="http://schemas.openxmlformats.org/officeDocument/2006/relationships/hyperlink" Target="https://vibe-alpha-three.vercel.app/investor/reports/archive-40dcf8b348f3/" TargetMode="External"/><Relationship Id="rId129" Type="http://schemas.openxmlformats.org/officeDocument/2006/relationships/hyperlink" Target="https://vibe-alpha-three.vercel.app/investor/reports/archive-6e9e23de1ab1/" TargetMode="External"/><Relationship Id="rId130" Type="http://schemas.openxmlformats.org/officeDocument/2006/relationships/hyperlink" Target="https://vibe-alpha-three.vercel.app/investor/reports/archive-c73d9278031c/" TargetMode="External"/><Relationship Id="rId131" Type="http://schemas.openxmlformats.org/officeDocument/2006/relationships/hyperlink" Target="https://vibe-alpha-three.vercel.app/investor/reports/archive-afeb7ff21c1b/" TargetMode="External"/><Relationship Id="rId132" Type="http://schemas.openxmlformats.org/officeDocument/2006/relationships/hyperlink" Target="https://vibe-alpha-three.vercel.app/investor/reports/archive-a5616be2b17f/" TargetMode="External"/><Relationship Id="rId133" Type="http://schemas.openxmlformats.org/officeDocument/2006/relationships/hyperlink" Target="https://vibe-alpha-three.vercel.app/investor/reports/archive-9c3c5f408f76/" TargetMode="External"/><Relationship Id="rId134" Type="http://schemas.openxmlformats.org/officeDocument/2006/relationships/hyperlink" Target="https://vibe-alpha-three.vercel.app/investor/reports/archive-01aac928ad8d/" TargetMode="External"/><Relationship Id="rId135" Type="http://schemas.openxmlformats.org/officeDocument/2006/relationships/hyperlink" Target="https://vibe-alpha-three.vercel.app/investor/reports/archive-965ef721dbc5/" TargetMode="External"/><Relationship Id="rId136" Type="http://schemas.openxmlformats.org/officeDocument/2006/relationships/hyperlink" Target="https://vibe-alpha-three.vercel.app/investor/reports/archive-c2226d24ebef/" TargetMode="External"/><Relationship Id="rId137" Type="http://schemas.openxmlformats.org/officeDocument/2006/relationships/hyperlink" Target="https://vibe-alpha-three.vercel.app/investor/reports/archive-bb84d631dbd3/" TargetMode="External"/><Relationship Id="rId138" Type="http://schemas.openxmlformats.org/officeDocument/2006/relationships/hyperlink" Target="https://vibe-alpha-three.vercel.app/investor/reports/archive-c822a207191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2026-W29 周报综合｜六项决策均为 HOLD，验证重点从叙事热度转向兑现约束</dc:title>
  <dc:subject>AI Institute weekly research report 2026-W29</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