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auto"/>
      </w:pPr>
      <w:r>
        <w:rPr>
          <w:rFonts w:ascii="Calibri" w:hAnsi="Calibri" w:eastAsia="Songti SC"/>
          <w:b/>
          <w:i w:val="0"/>
          <w:color w:val="285B9D"/>
          <w:sz w:val="20"/>
        </w:rPr>
        <w:t>AI Institute</w:t>
      </w:r>
    </w:p>
    <w:p>
      <w:pPr>
        <w:pStyle w:val="Title"/>
        <w:spacing w:before="0" w:after="80" w:line="264" w:lineRule="auto"/>
      </w:pPr>
      <w:r>
        <w:rPr>
          <w:rFonts w:ascii="Calibri" w:hAnsi="Calibri" w:eastAsia="Songti SC"/>
          <w:b w:val="0"/>
          <w:i w:val="0"/>
        </w:rPr>
        <w:t>每日投资研究简报</w:t>
      </w:r>
    </w:p>
    <w:p>
      <w:pPr>
        <w:pStyle w:val="Subtitle"/>
        <w:spacing w:before="0" w:after="240" w:line="264" w:lineRule="auto"/>
      </w:pPr>
      <w:r>
        <w:rPr>
          <w:rFonts w:ascii="Calibri" w:hAnsi="Calibri" w:eastAsia="Songti SC"/>
          <w:b w:val="0"/>
          <w:i w:val="0"/>
        </w:rPr>
        <w:t>2026-06-05 · webpage screenshot DOCX edition</w:t>
      </w:r>
    </w:p>
    <w:p>
      <w:pPr>
        <w:spacing w:before="0" w:after="160" w:line="264" w:lineRule="auto"/>
      </w:pPr>
      <w:r>
        <w:rPr>
          <w:rFonts w:ascii="Calibri" w:hAnsi="Calibri" w:eastAsia="Songti SC"/>
          <w:b/>
          <w:i w:val="0"/>
          <w:color w:val="0B2545"/>
          <w:sz w:val="34"/>
        </w:rPr>
        <w:t>宏观通胀传导仍是今日主线，AI 基础设施提供第二层验证。</w:t>
      </w:r>
    </w:p>
    <w:p>
      <w:pPr>
        <w:spacing w:before="0" w:after="240" w:line="264" w:lineRule="auto"/>
      </w:pPr>
      <w:r>
        <w:rPr>
          <w:rFonts w:ascii="Calibri" w:hAnsi="Calibri" w:eastAsia="Songti SC"/>
          <w:b w:val="0"/>
          <w:i w:val="0"/>
          <w:color w:val="334155"/>
          <w:sz w:val="22"/>
        </w:rPr>
        <w:t>2026-06-05 共纳入 142 篇中文研究结果，覆盖 25 位活跃分析师和 6 条主要行业链，较 2026-06-04 的主题变化可在右侧动量表中核对。简报优先呈现可被报告链接追溯的结论，而不是孤立摘要。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shd w:fill="F8FAFC"/>
          </w:tcPr>
          <w:p>
            <w:pPr>
              <w:spacing w:after="40"/>
            </w:pPr>
            <w:r>
              <w:rPr>
                <w:rFonts w:ascii="Calibri" w:hAnsi="Calibri" w:eastAsia="Songti SC"/>
                <w:b/>
                <w:color w:val="667085"/>
                <w:sz w:val="17"/>
              </w:rPr>
              <w:t>今日报告</w:t>
              <w:br/>
            </w:r>
            <w:r>
              <w:rPr>
                <w:rFonts w:ascii="Calibri" w:hAnsi="Calibri" w:eastAsia="Songti SC"/>
                <w:b/>
                <w:color w:val="285B9D"/>
                <w:sz w:val="36"/>
              </w:rPr>
              <w:t>142</w:t>
            </w:r>
          </w:p>
        </w:tc>
        <w:tc>
          <w:tcPr>
            <w:tcW w:type="dxa" w:w="2340"/>
            <w:vAlign w:val="center"/>
            <w:shd w:fill="F8FAFC"/>
          </w:tcPr>
          <w:p>
            <w:pPr>
              <w:spacing w:after="40"/>
            </w:pPr>
            <w:r>
              <w:rPr>
                <w:rFonts w:ascii="Calibri" w:hAnsi="Calibri" w:eastAsia="Songti SC"/>
                <w:b/>
                <w:color w:val="667085"/>
                <w:sz w:val="17"/>
              </w:rPr>
              <w:t>活跃分析师</w:t>
              <w:br/>
            </w:r>
            <w:r>
              <w:rPr>
                <w:rFonts w:ascii="Calibri" w:hAnsi="Calibri" w:eastAsia="Songti SC"/>
                <w:b/>
                <w:color w:val="237A5B"/>
                <w:sz w:val="36"/>
              </w:rPr>
              <w:t>25</w:t>
            </w:r>
          </w:p>
        </w:tc>
        <w:tc>
          <w:tcPr>
            <w:tcW w:type="dxa" w:w="2340"/>
            <w:vAlign w:val="center"/>
            <w:shd w:fill="F8FAFC"/>
          </w:tcPr>
          <w:p>
            <w:pPr>
              <w:spacing w:after="40"/>
            </w:pPr>
            <w:r>
              <w:rPr>
                <w:rFonts w:ascii="Calibri" w:hAnsi="Calibri" w:eastAsia="Songti SC"/>
                <w:b/>
                <w:color w:val="667085"/>
                <w:sz w:val="17"/>
              </w:rPr>
              <w:t>活跃链条</w:t>
              <w:br/>
            </w:r>
            <w:r>
              <w:rPr>
                <w:rFonts w:ascii="Calibri" w:hAnsi="Calibri" w:eastAsia="Songti SC"/>
                <w:b/>
                <w:color w:val="A8731B"/>
                <w:sz w:val="36"/>
              </w:rPr>
              <w:t>6</w:t>
            </w:r>
          </w:p>
        </w:tc>
        <w:tc>
          <w:tcPr>
            <w:tcW w:type="dxa" w:w="2340"/>
            <w:vAlign w:val="center"/>
            <w:shd w:fill="F8FAFC"/>
          </w:tcPr>
          <w:p>
            <w:pPr>
              <w:spacing w:after="40"/>
            </w:pPr>
            <w:r>
              <w:rPr>
                <w:rFonts w:ascii="Calibri" w:hAnsi="Calibri" w:eastAsia="Songti SC"/>
                <w:b/>
                <w:color w:val="667085"/>
                <w:sz w:val="17"/>
              </w:rPr>
              <w:t>风险信号</w:t>
              <w:br/>
            </w:r>
            <w:r>
              <w:rPr>
                <w:rFonts w:ascii="Calibri" w:hAnsi="Calibri" w:eastAsia="Songti SC"/>
                <w:b/>
                <w:color w:val="B43D49"/>
                <w:sz w:val="36"/>
              </w:rPr>
              <w:t>16</w:t>
            </w:r>
          </w:p>
        </w:tc>
      </w:tr>
    </w:tbl>
    <w:p>
      <w:pPr>
        <w:spacing w:before="0" w:after="160" w:line="264" w:lineRule="auto"/>
      </w:pPr>
    </w:p>
    <w:p>
      <w:pPr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70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brief-2026-06-05-web-summa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7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00" w:line="264" w:lineRule="auto"/>
        <w:jc w:val="center"/>
      </w:pPr>
      <w:r>
        <w:rPr>
          <w:rFonts w:ascii="Calibri" w:hAnsi="Calibri" w:eastAsia="Songti SC"/>
          <w:b w:val="0"/>
          <w:i/>
          <w:color w:val="667085"/>
          <w:sz w:val="17"/>
        </w:rPr>
        <w:t>Figure 1. Webpage snapshot of the daily synthesis and key operating metrics.</w:t>
      </w:r>
    </w:p>
    <w:p>
      <w:pPr>
        <w:pStyle w:val="Heading1"/>
      </w:pPr>
      <w:r>
        <w:t>1. 综合研判</w:t>
      </w:r>
    </w:p>
    <w:p>
      <w:pPr>
        <w:spacing w:after="140"/>
        <w:ind w:left="259" w:hanging="259"/>
      </w:pPr>
      <w:r>
        <w:rPr>
          <w:rFonts w:ascii="Calibri" w:hAnsi="Calibri" w:eastAsia="Songti SC"/>
          <w:b/>
          <w:color w:val="285B9D"/>
          <w:sz w:val="21"/>
        </w:rPr>
        <w:t xml:space="preserve">主线判断: </w:t>
      </w:r>
      <w:hyperlink r:id="rId12">
        <w:r>
          <w:rPr>
            <w:color w:val="285B9D"/>
            <w:u w:val="single"/>
            <w:rFonts w:eastAsia="Songti SC" w:ascii="Calibri" w:hAnsi="Calibri"/>
          </w:rPr>
          <w:t>中游材料产能缺口对先进封装与AI算力硬件供应链的传导风险 是今日最高权重结论，核心证据来自 未识别，关联 工业供给瓶颈。</w:t>
        </w:r>
      </w:hyperlink>
    </w:p>
    <w:p>
      <w:pPr>
        <w:spacing w:after="140"/>
        <w:ind w:left="259" w:hanging="259"/>
      </w:pPr>
      <w:r>
        <w:rPr>
          <w:rFonts w:ascii="Calibri" w:hAnsi="Calibri" w:eastAsia="Songti SC"/>
          <w:b/>
          <w:color w:val="285B9D"/>
          <w:sz w:val="21"/>
        </w:rPr>
        <w:t xml:space="preserve">变化信号: </w:t>
      </w:r>
      <w:r>
        <w:rPr>
          <w:rFonts w:ascii="Calibri" w:hAnsi="Calibri" w:eastAsia="Songti SC"/>
          <w:color w:val="111827"/>
          <w:sz w:val="21"/>
        </w:rPr>
        <w:t>AI 今日 降温，当日计数 118，前一日计数 354。</w:t>
      </w:r>
    </w:p>
    <w:p>
      <w:pPr>
        <w:spacing w:after="140"/>
        <w:ind w:left="259" w:hanging="259"/>
      </w:pPr>
      <w:r>
        <w:rPr>
          <w:rFonts w:ascii="Calibri" w:hAnsi="Calibri" w:eastAsia="Songti SC"/>
          <w:b/>
          <w:color w:val="285B9D"/>
          <w:sz w:val="21"/>
        </w:rPr>
        <w:t xml:space="preserve">风险焦点: </w:t>
      </w:r>
      <w:hyperlink r:id="rId13">
        <w:r>
          <w:rPr>
            <w:color w:val="285B9D"/>
            <w:u w:val="single"/>
            <w:rFonts w:eastAsia="Songti SC" w:ascii="Calibri" w:hAnsi="Calibri"/>
          </w:rPr>
          <w:t>风险矩阵最需要跟踪的是 电力与电网：算力瓶颈压力测试：电网传输与并网队列的真实时滞。</w:t>
        </w:r>
      </w:hyperlink>
    </w:p>
    <w:p>
      <w:pPr>
        <w:spacing w:after="140"/>
        <w:ind w:left="259" w:hanging="259"/>
      </w:pPr>
      <w:r>
        <w:rPr>
          <w:rFonts w:ascii="Calibri" w:hAnsi="Calibri" w:eastAsia="Songti SC"/>
          <w:b/>
          <w:color w:val="285B9D"/>
          <w:sz w:val="21"/>
        </w:rPr>
        <w:t xml:space="preserve">证据密度: </w:t>
      </w:r>
      <w:hyperlink r:id="rId14">
        <w:r>
          <w:rPr>
            <w:color w:val="285B9D"/>
            <w:u w:val="single"/>
            <w:rFonts w:eastAsia="Songti SC" w:ascii="Calibri" w:hAnsi="Calibri"/>
          </w:rPr>
          <w:t>宏观通胀传导 今日 132 条、近七日 1756 条，风险信号 1201 条。</w:t>
        </w:r>
      </w:hyperlink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FFF7E6"/>
          </w:tcPr>
          <w:p>
            <w:r>
              <w:rPr>
                <w:rFonts w:ascii="Calibri" w:hAnsi="Calibri" w:eastAsia="Songti SC"/>
                <w:b/>
                <w:color w:val="7A5A00"/>
                <w:sz w:val="21"/>
              </w:rPr>
              <w:t xml:space="preserve">投资解读: </w:t>
            </w:r>
            <w:r>
              <w:rPr>
                <w:rFonts w:ascii="Calibri" w:hAnsi="Calibri" w:eastAsia="Songti SC"/>
                <w:color w:val="7C2D12"/>
                <w:sz w:val="21"/>
              </w:rPr>
              <w:t>投资含义上，本日简报更适合作为主题和风险筛选器：先看行业链雷达确认资金关注方向，再用风险矩阵排除证据不足或约束过强的交易表达。</w:t>
            </w:r>
          </w:p>
        </w:tc>
      </w:tr>
    </w:tbl>
    <w:p>
      <w:pPr>
        <w:spacing w:before="0" w:after="120" w:line="264" w:lineRule="auto"/>
      </w:pPr>
    </w:p>
    <w:p>
      <w:pPr>
        <w:pStyle w:val="Heading1"/>
      </w:pPr>
      <w:r>
        <w:t>2. 可视化仪表板</w:t>
      </w:r>
    </w:p>
    <w:p>
      <w:pPr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70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brief-2026-06-05-web-tren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7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00" w:line="264" w:lineRule="auto"/>
        <w:jc w:val="center"/>
      </w:pPr>
      <w:r>
        <w:rPr>
          <w:rFonts w:ascii="Calibri" w:hAnsi="Calibri" w:eastAsia="Songti SC"/>
          <w:b w:val="0"/>
          <w:i/>
          <w:color w:val="667085"/>
          <w:sz w:val="17"/>
        </w:rPr>
        <w:t>Figure 2. Webpage snapshot of topic momentum and daily change signals.</w:t>
      </w:r>
    </w:p>
    <w:p>
      <w:pPr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709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brief-2026-06-05-web-chai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7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00" w:line="264" w:lineRule="auto"/>
        <w:jc w:val="center"/>
      </w:pPr>
      <w:r>
        <w:rPr>
          <w:rFonts w:ascii="Calibri" w:hAnsi="Calibri" w:eastAsia="Songti SC"/>
          <w:b w:val="0"/>
          <w:i/>
          <w:color w:val="667085"/>
          <w:sz w:val="17"/>
        </w:rPr>
        <w:t>Figure 3. Webpage snapshot of industry-chain heat and evidence links.</w:t>
      </w:r>
    </w:p>
    <w:p>
      <w:r>
        <w:br w:type="page"/>
      </w:r>
    </w:p>
    <w:p>
      <w:pPr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709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brief-2026-06-05-web-risk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7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00" w:line="264" w:lineRule="auto"/>
        <w:jc w:val="center"/>
      </w:pPr>
      <w:r>
        <w:rPr>
          <w:rFonts w:ascii="Calibri" w:hAnsi="Calibri" w:eastAsia="Songti SC"/>
          <w:b w:val="0"/>
          <w:i/>
          <w:color w:val="667085"/>
          <w:sz w:val="17"/>
        </w:rPr>
        <w:t>Figure 4. Webpage snapshot of the risk matrix and pressure-test items.</w:t>
      </w:r>
    </w:p>
    <w:p>
      <w:r>
        <w:br w:type="page"/>
      </w:r>
    </w:p>
    <w:p>
      <w:pPr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709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brief-2026-06-05-web-heatma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7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00" w:line="264" w:lineRule="auto"/>
        <w:jc w:val="center"/>
      </w:pPr>
      <w:r>
        <w:rPr>
          <w:rFonts w:ascii="Calibri" w:hAnsi="Calibri" w:eastAsia="Songti SC"/>
          <w:b w:val="0"/>
          <w:i/>
          <w:color w:val="667085"/>
          <w:sz w:val="17"/>
        </w:rPr>
        <w:t>Figure 5. Webpage snapshot of analyst activity and ranked conclusions.</w:t>
      </w:r>
    </w:p>
    <w:p>
      <w:pPr>
        <w:pStyle w:val="Heading1"/>
      </w:pPr>
      <w:r>
        <w:t>3. 今日核心结论</w:t>
      </w:r>
    </w:p>
    <w:p>
      <w:pPr>
        <w:spacing w:before="0" w:after="40" w:line="264" w:lineRule="auto"/>
      </w:pPr>
      <w:r>
        <w:rPr>
          <w:rFonts w:ascii="Calibri" w:hAnsi="Calibri" w:eastAsia="Songti SC"/>
          <w:b/>
          <w:i w:val="0"/>
          <w:color w:val="0B2545"/>
          <w:sz w:val="23"/>
        </w:rPr>
        <w:t>1. 中游材料产能缺口对先进封装与AI算力硬件供应链的传导风险</w:t>
      </w:r>
    </w:p>
    <w:p>
      <w:pPr>
        <w:spacing w:before="0" w:after="4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>未识别 · 工业供给瓶颈 · score 53.6</w:t>
      </w:r>
    </w:p>
    <w:p>
      <w:pPr>
        <w:spacing w:before="0" w:after="100" w:line="264" w:lineRule="auto"/>
      </w:pPr>
      <w:r>
        <w:rPr>
          <w:rFonts w:ascii="Calibri" w:hAnsi="Calibri" w:eastAsia="Songti SC"/>
          <w:b w:val="0"/>
          <w:i w:val="0"/>
          <w:color w:val="334155"/>
          <w:sz w:val="20"/>
        </w:rPr>
        <w:t>分析师：TMT行业分析师 - 立场：stress-test（压力测试） - 工作日期：2026-06-05（亚洲/新加坡） - 线程：8/8 — 收尾研究记录，闭合"镓→重稀土→石墨"级联线索</w:t>
      </w:r>
    </w:p>
    <w:p>
      <w:pPr>
        <w:spacing w:before="0" w:after="16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 xml:space="preserve">Report: </w:t>
      </w:r>
      <w:hyperlink r:id="rId12">
        <w:r>
          <w:rPr>
            <w:color w:val="285B9D"/>
            <w:u w:val="single"/>
            <w:rFonts w:eastAsia="Songti SC" w:ascii="Calibri" w:hAnsi="Calibri"/>
          </w:rPr>
          <w:t>reports/archive-2c749d1148f9</w:t>
        </w:r>
      </w:hyperlink>
    </w:p>
    <w:p>
      <w:pPr>
        <w:spacing w:before="0" w:after="40" w:line="264" w:lineRule="auto"/>
      </w:pPr>
      <w:r>
        <w:rPr>
          <w:rFonts w:ascii="Calibri" w:hAnsi="Calibri" w:eastAsia="Songti SC"/>
          <w:b/>
          <w:i w:val="0"/>
          <w:color w:val="0B2545"/>
          <w:sz w:val="23"/>
        </w:rPr>
        <w:t>2. 2026-06-05 — 供给侧电力通胀下的美联储反应函数</w:t>
      </w:r>
    </w:p>
    <w:p>
      <w:pPr>
        <w:spacing w:before="0" w:after="4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>未识别 · 宏观通胀传导 · score 53.2</w:t>
      </w:r>
    </w:p>
    <w:p>
      <w:pPr>
        <w:spacing w:before="0" w:after="100" w:line="264" w:lineRule="auto"/>
      </w:pPr>
      <w:r>
        <w:rPr>
          <w:rFonts w:ascii="Calibri" w:hAnsi="Calibri" w:eastAsia="Songti SC"/>
          <w:b w:val="0"/>
          <w:i w:val="0"/>
          <w:color w:val="334155"/>
          <w:sz w:val="20"/>
        </w:rPr>
        <w:t>工作日: 2026-06-05 分析师: 首席经济学家 立场: 压力测试 问题: 鉴于电网和能源瓶颈构成的非典型通胀，美联储在 Kevin Warsh 领导下是否会调高长期中性利率 r 估算？</w:t>
      </w:r>
    </w:p>
    <w:p>
      <w:pPr>
        <w:spacing w:before="0" w:after="16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 xml:space="preserve">Report: </w:t>
      </w:r>
      <w:hyperlink r:id="rId19">
        <w:r>
          <w:rPr>
            <w:color w:val="285B9D"/>
            <w:u w:val="single"/>
            <w:rFonts w:eastAsia="Songti SC" w:ascii="Calibri" w:hAnsi="Calibri"/>
          </w:rPr>
          <w:t>reports/archive-a1c74957ff03</w:t>
        </w:r>
      </w:hyperlink>
    </w:p>
    <w:p>
      <w:pPr>
        <w:spacing w:before="0" w:after="40" w:line="264" w:lineRule="auto"/>
      </w:pPr>
      <w:r>
        <w:rPr>
          <w:rFonts w:ascii="Calibri" w:hAnsi="Calibri" w:eastAsia="Songti SC"/>
          <w:b/>
          <w:i w:val="0"/>
          <w:color w:val="0B2545"/>
          <w:sz w:val="23"/>
        </w:rPr>
        <w:t>3. 政策陷阱：为什么监管审批与贸易干预无法在 12-18 个月窗口内打破电网变压器短缺瓶颈</w:t>
      </w:r>
    </w:p>
    <w:p>
      <w:pPr>
        <w:spacing w:before="0" w:after="4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>未识别 · 电力与电网 · score 50.9</w:t>
      </w:r>
    </w:p>
    <w:p>
      <w:pPr>
        <w:spacing w:before="0" w:after="100" w:line="264" w:lineRule="auto"/>
      </w:pPr>
      <w:r>
        <w:rPr>
          <w:rFonts w:ascii="Calibri" w:hAnsi="Calibri" w:eastAsia="Songti SC"/>
          <w:b w:val="0"/>
          <w:i w:val="0"/>
          <w:color w:val="334155"/>
          <w:sz w:val="20"/>
        </w:rPr>
        <w:t>政策陷阱：为什么监管审批与贸易干预无法在 12-18 个月窗口内打破电网变压器短缺瓶颈</w:t>
      </w:r>
    </w:p>
    <w:p>
      <w:pPr>
        <w:spacing w:before="0" w:after="16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 xml:space="preserve">Report: </w:t>
      </w:r>
      <w:hyperlink r:id="rId20">
        <w:r>
          <w:rPr>
            <w:color w:val="285B9D"/>
            <w:u w:val="single"/>
            <w:rFonts w:eastAsia="Songti SC" w:ascii="Calibri" w:hAnsi="Calibri"/>
          </w:rPr>
          <w:t>reports/archive-4f163e7aace2</w:t>
        </w:r>
      </w:hyperlink>
    </w:p>
    <w:p>
      <w:pPr>
        <w:spacing w:before="0" w:after="40" w:line="264" w:lineRule="auto"/>
      </w:pPr>
      <w:r>
        <w:rPr>
          <w:rFonts w:ascii="Calibri" w:hAnsi="Calibri" w:eastAsia="Songti SC"/>
          <w:b/>
          <w:i w:val="0"/>
          <w:color w:val="0B2545"/>
          <w:sz w:val="23"/>
        </w:rPr>
        <w:t>4. 铜与电工钢供给侧约束：矿端供应缺口、冶炼产能与GOES瓶颈</w:t>
      </w:r>
    </w:p>
    <w:p>
      <w:pPr>
        <w:spacing w:before="0" w:after="4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>未识别 · 工业供给瓶颈 · score 50.0</w:t>
      </w:r>
    </w:p>
    <w:p>
      <w:pPr>
        <w:spacing w:before="0" w:after="100" w:line="264" w:lineRule="auto"/>
      </w:pPr>
      <w:r>
        <w:rPr>
          <w:rFonts w:ascii="Calibri" w:hAnsi="Calibri" w:eastAsia="Songti SC"/>
          <w:b w:val="0"/>
          <w:i w:val="0"/>
          <w:color w:val="334155"/>
          <w:sz w:val="20"/>
        </w:rPr>
        <w:t>铜与电工钢供给侧约束：矿端供应缺口、冶炼产能与GOES瓶颈 日期：2026-06-05 分析师：材料行业分析师 (materials-analyst) 立场：支持 (Support) — 支持能源行业分析师 (energy-analyst) 在 pr...</w:t>
      </w:r>
    </w:p>
    <w:p>
      <w:pPr>
        <w:spacing w:before="0" w:after="16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 xml:space="preserve">Report: </w:t>
      </w:r>
      <w:hyperlink r:id="rId21">
        <w:r>
          <w:rPr>
            <w:color w:val="285B9D"/>
            <w:u w:val="single"/>
            <w:rFonts w:eastAsia="Songti SC" w:ascii="Calibri" w:hAnsi="Calibri"/>
          </w:rPr>
          <w:t>reports/archive-f1cc16439797</w:t>
        </w:r>
      </w:hyperlink>
    </w:p>
    <w:p>
      <w:pPr>
        <w:spacing w:before="0" w:after="40" w:line="264" w:lineRule="auto"/>
      </w:pPr>
      <w:r>
        <w:rPr>
          <w:rFonts w:ascii="Calibri" w:hAnsi="Calibri" w:eastAsia="Songti SC"/>
          <w:b/>
          <w:i w:val="0"/>
          <w:color w:val="0B2545"/>
          <w:sz w:val="23"/>
        </w:rPr>
        <w:t>5. 电力基础设施瓶颈：输配电设备供应链压力与公用事业资产重估</w:t>
      </w:r>
    </w:p>
    <w:p>
      <w:pPr>
        <w:spacing w:before="0" w:after="4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>未识别 · 工业供给瓶颈 · score 49.9</w:t>
      </w:r>
    </w:p>
    <w:p>
      <w:pPr>
        <w:spacing w:before="0" w:after="100" w:line="264" w:lineRule="auto"/>
      </w:pPr>
      <w:r>
        <w:rPr>
          <w:rFonts w:ascii="Calibri" w:hAnsi="Calibri" w:eastAsia="Songti SC"/>
          <w:b w:val="0"/>
          <w:i w:val="0"/>
          <w:color w:val="334155"/>
          <w:sz w:val="20"/>
        </w:rPr>
        <w:t>电力基础设施瓶颈：输配电设备供应链压力与公用事业资产重估 分析日期： 2026-06-05 分析师： Utilities Analyst 立场： 支持 (基于 prior research notes与 prior research notes的推论)</w:t>
      </w:r>
    </w:p>
    <w:p>
      <w:pPr>
        <w:spacing w:before="0" w:after="16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 xml:space="preserve">Report: </w:t>
      </w:r>
      <w:hyperlink r:id="rId22">
        <w:r>
          <w:rPr>
            <w:color w:val="285B9D"/>
            <w:u w:val="single"/>
            <w:rFonts w:eastAsia="Songti SC" w:ascii="Calibri" w:hAnsi="Calibri"/>
          </w:rPr>
          <w:t>reports/archive-abe8b95b573c</w:t>
        </w:r>
      </w:hyperlink>
    </w:p>
    <w:p>
      <w:pPr>
        <w:spacing w:before="0" w:after="40" w:line="264" w:lineRule="auto"/>
      </w:pPr>
      <w:r>
        <w:rPr>
          <w:rFonts w:ascii="Calibri" w:hAnsi="Calibri" w:eastAsia="Songti SC"/>
          <w:b/>
          <w:i w:val="0"/>
          <w:color w:val="0B2545"/>
          <w:sz w:val="23"/>
        </w:rPr>
        <w:t>6. 研究记录07 · 能源行业分析师压力测试报告</w:t>
      </w:r>
    </w:p>
    <w:p>
      <w:pPr>
        <w:spacing w:before="0" w:after="4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>未识别 · AI 基础设施 · score 49.4</w:t>
      </w:r>
    </w:p>
    <w:p>
      <w:pPr>
        <w:spacing w:before="0" w:after="100" w:line="264" w:lineRule="auto"/>
      </w:pPr>
      <w:r>
        <w:rPr>
          <w:rFonts w:ascii="Calibri" w:hAnsi="Calibri" w:eastAsia="Songti SC"/>
          <w:b w:val="0"/>
          <w:i w:val="0"/>
          <w:color w:val="334155"/>
          <w:sz w:val="20"/>
        </w:rPr>
        <w:t>工作日期：2026-06-05（亚洲/新加坡） - 板块：AI 基础设施电力供给瓶颈及其对算力扩张的压制风险 - 立场：stress-test（对 research note/research note 的量化减仓规则做物理性前置条件压力测...</w:t>
      </w:r>
    </w:p>
    <w:p>
      <w:pPr>
        <w:spacing w:before="0" w:after="16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 xml:space="preserve">Report: </w:t>
      </w:r>
      <w:hyperlink r:id="rId23">
        <w:r>
          <w:rPr>
            <w:color w:val="285B9D"/>
            <w:u w:val="single"/>
            <w:rFonts w:eastAsia="Songti SC" w:ascii="Calibri" w:hAnsi="Calibri"/>
          </w:rPr>
          <w:t>reports/archive-11cd11efbd24</w:t>
        </w:r>
      </w:hyperlink>
    </w:p>
    <w:p>
      <w:pPr>
        <w:pStyle w:val="Heading1"/>
      </w:pPr>
      <w:r>
        <w:t>4. 重点跟踪事项</w:t>
      </w:r>
    </w:p>
    <w:p>
      <w:pPr>
        <w:spacing w:before="0" w:after="40" w:line="264" w:lineRule="auto"/>
      </w:pPr>
      <w:r>
        <w:rPr>
          <w:rFonts w:ascii="Calibri" w:hAnsi="Calibri" w:eastAsia="Songti SC"/>
          <w:b/>
          <w:i w:val="0"/>
          <w:color w:val="0B2545"/>
          <w:sz w:val="22"/>
        </w:rPr>
        <w:t>算力瓶颈压力测试：电网传输与并网队列的真实时滞</w:t>
      </w:r>
    </w:p>
    <w:p>
      <w:pPr>
        <w:spacing w:before="0" w:after="60" w:line="264" w:lineRule="auto"/>
      </w:pPr>
      <w:r>
        <w:rPr>
          <w:rFonts w:ascii="Calibri" w:hAnsi="Calibri" w:eastAsia="Songti SC"/>
          <w:b w:val="0"/>
          <w:i w:val="0"/>
          <w:color w:val="334155"/>
          <w:sz w:val="20"/>
        </w:rPr>
        <w:t>电力与电网，影响 5 / 概率 5</w:t>
      </w:r>
    </w:p>
    <w:p>
      <w:pPr>
        <w:spacing w:before="0" w:after="16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 xml:space="preserve">Report: </w:t>
      </w:r>
      <w:hyperlink r:id="rId13">
        <w:r>
          <w:rPr>
            <w:color w:val="285B9D"/>
            <w:u w:val="single"/>
            <w:rFonts w:eastAsia="Songti SC" w:ascii="Calibri" w:hAnsi="Calibri"/>
          </w:rPr>
          <w:t>reports/archive-5166d41eec14</w:t>
        </w:r>
      </w:hyperlink>
    </w:p>
    <w:p>
      <w:pPr>
        <w:spacing w:before="0" w:after="40" w:line="264" w:lineRule="auto"/>
      </w:pPr>
      <w:r>
        <w:rPr>
          <w:rFonts w:ascii="Calibri" w:hAnsi="Calibri" w:eastAsia="Songti SC"/>
          <w:b/>
          <w:i w:val="0"/>
          <w:color w:val="0B2545"/>
          <w:sz w:val="22"/>
        </w:rPr>
        <w:t>压力测试：电力设备交付延迟与成本上升对AI算力中心“成本回收”的冲击</w:t>
      </w:r>
    </w:p>
    <w:p>
      <w:pPr>
        <w:spacing w:before="0" w:after="60" w:line="264" w:lineRule="auto"/>
      </w:pPr>
      <w:r>
        <w:rPr>
          <w:rFonts w:ascii="Calibri" w:hAnsi="Calibri" w:eastAsia="Songti SC"/>
          <w:b w:val="0"/>
          <w:i w:val="0"/>
          <w:color w:val="334155"/>
          <w:sz w:val="20"/>
        </w:rPr>
        <w:t>电力与电网，影响 5 / 概率 2</w:t>
      </w:r>
    </w:p>
    <w:p>
      <w:pPr>
        <w:spacing w:before="0" w:after="16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 xml:space="preserve">Report: </w:t>
      </w:r>
      <w:hyperlink r:id="rId24">
        <w:r>
          <w:rPr>
            <w:color w:val="285B9D"/>
            <w:u w:val="single"/>
            <w:rFonts w:eastAsia="Songti SC" w:ascii="Calibri" w:hAnsi="Calibri"/>
          </w:rPr>
          <w:t>reports/archive-035608ac057a</w:t>
        </w:r>
      </w:hyperlink>
    </w:p>
    <w:p>
      <w:pPr>
        <w:spacing w:before="0" w:after="40" w:line="264" w:lineRule="auto"/>
      </w:pPr>
      <w:r>
        <w:rPr>
          <w:rFonts w:ascii="Calibri" w:hAnsi="Calibri" w:eastAsia="Songti SC"/>
          <w:b/>
          <w:i w:val="0"/>
          <w:color w:val="0B2545"/>
          <w:sz w:val="22"/>
        </w:rPr>
        <w:t>变压器与开关柜瓶颈：AI数据中心的节奏将由硅钢卷而非硅晶圆决定</w:t>
      </w:r>
    </w:p>
    <w:p>
      <w:pPr>
        <w:spacing w:before="0" w:after="60" w:line="264" w:lineRule="auto"/>
      </w:pPr>
      <w:r>
        <w:rPr>
          <w:rFonts w:ascii="Calibri" w:hAnsi="Calibri" w:eastAsia="Songti SC"/>
          <w:b w:val="0"/>
          <w:i w:val="0"/>
          <w:color w:val="334155"/>
          <w:sz w:val="20"/>
        </w:rPr>
        <w:t>工业供给瓶颈，影响 5 / 概率 3</w:t>
      </w:r>
    </w:p>
    <w:p>
      <w:pPr>
        <w:spacing w:before="0" w:after="16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 xml:space="preserve">Report: </w:t>
      </w:r>
      <w:hyperlink r:id="rId25">
        <w:r>
          <w:rPr>
            <w:color w:val="285B9D"/>
            <w:u w:val="single"/>
            <w:rFonts w:eastAsia="Songti SC" w:ascii="Calibri" w:hAnsi="Calibri"/>
          </w:rPr>
          <w:t>reports/archive-1ba0209b8947</w:t>
        </w:r>
      </w:hyperlink>
    </w:p>
    <w:p>
      <w:pPr>
        <w:pStyle w:val="Heading1"/>
      </w:pPr>
      <w:r>
        <w:t>5. 证据表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3720"/>
        <w:gridCol w:w="1560"/>
        <w:gridCol w:w="1680"/>
        <w:gridCol w:w="900"/>
        <w:gridCol w:w="1500"/>
      </w:tblGrid>
      <w:tr>
        <w:tc>
          <w:tcPr>
            <w:tcW w:type="dxa" w:w="3720"/>
            <w:vAlign w:val="center"/>
            <w:shd w:fill="F2F4F7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475569"/>
                <w:sz w:val="18"/>
              </w:rPr>
              <w:t>报告</w:t>
            </w:r>
          </w:p>
        </w:tc>
        <w:tc>
          <w:tcPr>
            <w:tcW w:type="dxa" w:w="1560"/>
            <w:vAlign w:val="center"/>
            <w:shd w:fill="F2F4F7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475569"/>
                <w:sz w:val="18"/>
              </w:rPr>
              <w:t>分析师</w:t>
            </w:r>
          </w:p>
        </w:tc>
        <w:tc>
          <w:tcPr>
            <w:tcW w:type="dxa" w:w="1680"/>
            <w:vAlign w:val="center"/>
            <w:shd w:fill="F2F4F7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475569"/>
                <w:sz w:val="18"/>
              </w:rPr>
              <w:t>行业链</w:t>
            </w:r>
          </w:p>
        </w:tc>
        <w:tc>
          <w:tcPr>
            <w:tcW w:type="dxa" w:w="900"/>
            <w:vAlign w:val="center"/>
            <w:shd w:fill="F2F4F7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475569"/>
                <w:sz w:val="18"/>
              </w:rPr>
              <w:t>评分</w:t>
            </w:r>
          </w:p>
        </w:tc>
        <w:tc>
          <w:tcPr>
            <w:tcW w:type="dxa" w:w="1500"/>
            <w:vAlign w:val="center"/>
            <w:shd w:fill="F2F4F7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475569"/>
                <w:sz w:val="18"/>
              </w:rPr>
              <w:t>风险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中游材料产能缺口对先进封装与AI算力硬件供应链的传导风险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工业供给瓶颈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53.6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2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2026-06-05 — 供给侧电力通胀下的美联储反应函数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53.2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3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政策陷阱：为什么监管审批与贸易干预无法在 12-18 个月窗口内打破电网变压器短缺瓶颈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电力与电网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50.9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4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铜与电工钢供给侧约束：矿端供应缺口、冶炼产能与GOES瓶颈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工业供给瓶颈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50.0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2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电力基础设施瓶颈：输配电设备供应链压力与公用事业资产重估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工业供给瓶颈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49.9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2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研究记录07 · 能源行业分析师压力测试报告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49.4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3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AI 产业追踪报告 (2026年6月5日)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TMT行业分析师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47.6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常规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USD/CNY 政策管理效能与资本流动压力的边界测试报告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47.3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2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结构性瓶颈、制造业回流与美联储长期终端利率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47.2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AI 数据中心电力与基础设施瓶颈评估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47.1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2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研究记录03 · 能源行业分析师压力测试报告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45.7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2026-06-05 工业制造研究记录：压力测试电网设备厂商的"重定价溢价"——铜与电磁钢的成本飙升是否...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工业供给瓶颈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45.6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2026-06-05 研究报告：AI 算力需求对电力基础设施与电网负荷的结构性推动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44.9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边缘AI与国产安全芯片规模化量产能否匹配住宅VPP放量？——产能与瓶颈压力测试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44.6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3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AI 算力需求下的绿电政策约束与运营商配套压力评估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44.5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3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行业定位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深研主编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44.2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常规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盈利预测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深研主编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43.7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智能家居背后的 AI 与 IoT 硬件供应链：传感器、AI 芯片及智能模组的增长潜力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43.4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1</w:t>
            </w:r>
          </w:p>
        </w:tc>
      </w:tr>
    </w:tbl>
    <w:p>
      <w:pPr>
        <w:spacing w:before="0" w:after="160" w:line="264" w:lineRule="auto"/>
      </w:pPr>
      <w:r>
        <w:rPr>
          <w:rFonts w:ascii="Calibri" w:hAnsi="Calibri" w:eastAsia="Songti SC"/>
          <w:b w:val="0"/>
          <w:i/>
          <w:color w:val="667085"/>
          <w:sz w:val="17"/>
        </w:rPr>
        <w:t>Table 1. Evidence table excerpt. Full evidence remains available in the interactive daily brief.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Songti SC"/>
        <w:color w:val="667085"/>
        <w:sz w:val="17"/>
      </w:rPr>
      <w:t>Generated from local AI Institute archive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Calibri" w:hAnsi="Calibri" w:eastAsia="Songti SC"/>
        <w:color w:val="667085"/>
        <w:sz w:val="18"/>
      </w:rPr>
      <w:t>AI Institute Daily Investor Brief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Songti SC"/>
      <w:b w:val="0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Songti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Songti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Songti S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Songti SC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 w:eastAsia="Songti SC"/>
      <w:b w:val="0"/>
      <w:i/>
      <w:iCs/>
      <w:color w:val="475569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reports/archive-2c749d1148f9" TargetMode="External"/><Relationship Id="rId13" Type="http://schemas.openxmlformats.org/officeDocument/2006/relationships/hyperlink" Target="reports/archive-5166d41eec14" TargetMode="External"/><Relationship Id="rId14" Type="http://schemas.openxmlformats.org/officeDocument/2006/relationships/hyperlink" Target="reports/archive-469d9fb675e7" TargetMode="External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hyperlink" Target="reports/archive-a1c74957ff03" TargetMode="External"/><Relationship Id="rId20" Type="http://schemas.openxmlformats.org/officeDocument/2006/relationships/hyperlink" Target="reports/archive-4f163e7aace2" TargetMode="External"/><Relationship Id="rId21" Type="http://schemas.openxmlformats.org/officeDocument/2006/relationships/hyperlink" Target="reports/archive-f1cc16439797" TargetMode="External"/><Relationship Id="rId22" Type="http://schemas.openxmlformats.org/officeDocument/2006/relationships/hyperlink" Target="reports/archive-abe8b95b573c" TargetMode="External"/><Relationship Id="rId23" Type="http://schemas.openxmlformats.org/officeDocument/2006/relationships/hyperlink" Target="reports/archive-11cd11efbd24" TargetMode="External"/><Relationship Id="rId24" Type="http://schemas.openxmlformats.org/officeDocument/2006/relationships/hyperlink" Target="reports/archive-035608ac057a" TargetMode="External"/><Relationship Id="rId25" Type="http://schemas.openxmlformats.org/officeDocument/2006/relationships/hyperlink" Target="reports/archive-1ba0209b89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Institute Daily Brief 2026-06-05</dc:title>
  <dc:subject>Daily investor research brief</dc:subject>
  <dc:creator>AI Institute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