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Songti SC"/>
          <w:b/>
          <w:i w:val="0"/>
          <w:color w:val="285B9D"/>
          <w:sz w:val="20"/>
        </w:rPr>
        <w:t>AI Institute</w:t>
      </w:r>
    </w:p>
    <w:p>
      <w:pPr>
        <w:pStyle w:val="Title"/>
        <w:spacing w:before="0" w:after="80" w:line="264" w:lineRule="auto"/>
      </w:pPr>
      <w:r>
        <w:rPr>
          <w:rFonts w:ascii="Calibri" w:hAnsi="Calibri" w:eastAsia="Songti SC"/>
          <w:b w:val="0"/>
          <w:i w:val="0"/>
        </w:rPr>
        <w:t>每日投资研究简报</w:t>
      </w:r>
    </w:p>
    <w:p>
      <w:pPr>
        <w:pStyle w:val="Subtitle"/>
        <w:spacing w:before="0" w:after="240" w:line="264" w:lineRule="auto"/>
      </w:pPr>
      <w:r>
        <w:rPr>
          <w:rFonts w:ascii="Calibri" w:hAnsi="Calibri" w:eastAsia="Songti SC"/>
          <w:b w:val="0"/>
          <w:i w:val="0"/>
        </w:rPr>
        <w:t>2026-06-24 · webpage screenshot DOCX edition</w:t>
      </w:r>
    </w:p>
    <w:p>
      <w:pPr>
        <w:spacing w:before="0" w:after="160" w:line="264" w:lineRule="auto"/>
      </w:pPr>
      <w:r>
        <w:rPr>
          <w:rFonts w:ascii="Calibri" w:hAnsi="Calibri" w:eastAsia="Songti SC"/>
          <w:b/>
          <w:i w:val="0"/>
          <w:color w:val="0B2545"/>
          <w:sz w:val="34"/>
        </w:rPr>
        <w:t>宏观通胀传导仍是今日主线，AI 基础设施提供第二层验证。</w:t>
      </w:r>
    </w:p>
    <w:p>
      <w:pPr>
        <w:spacing w:before="0" w:after="240" w:line="264" w:lineRule="auto"/>
      </w:pPr>
      <w:r>
        <w:rPr>
          <w:rFonts w:ascii="Calibri" w:hAnsi="Calibri" w:eastAsia="Songti SC"/>
          <w:b w:val="0"/>
          <w:i w:val="0"/>
          <w:color w:val="334155"/>
          <w:sz w:val="22"/>
        </w:rPr>
        <w:t>2026-06-24 共纳入 218 篇中文研究结果，覆盖 33 位活跃分析师和 6 条主要行业链，较 2026-06-23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Songti SC"/>
                <w:b/>
                <w:color w:val="667085"/>
                <w:sz w:val="17"/>
              </w:rPr>
              <w:t>今日报告</w:t>
              <w:br/>
            </w:r>
            <w:r>
              <w:rPr>
                <w:rFonts w:ascii="Calibri" w:hAnsi="Calibri" w:eastAsia="Songti SC"/>
                <w:b/>
                <w:color w:val="285B9D"/>
                <w:sz w:val="36"/>
              </w:rPr>
              <w:t>218</w:t>
            </w:r>
          </w:p>
        </w:tc>
        <w:tc>
          <w:tcPr>
            <w:tcW w:type="dxa" w:w="2340"/>
            <w:vAlign w:val="center"/>
            <w:shd w:fill="F8FAFC"/>
          </w:tcPr>
          <w:p>
            <w:pPr>
              <w:spacing w:after="40"/>
            </w:pPr>
            <w:r>
              <w:rPr>
                <w:rFonts w:ascii="Calibri" w:hAnsi="Calibri" w:eastAsia="Songti SC"/>
                <w:b/>
                <w:color w:val="667085"/>
                <w:sz w:val="17"/>
              </w:rPr>
              <w:t>活跃分析师</w:t>
              <w:br/>
            </w:r>
            <w:r>
              <w:rPr>
                <w:rFonts w:ascii="Calibri" w:hAnsi="Calibri" w:eastAsia="Songti SC"/>
                <w:b/>
                <w:color w:val="237A5B"/>
                <w:sz w:val="36"/>
              </w:rPr>
              <w:t>33</w:t>
            </w:r>
          </w:p>
        </w:tc>
        <w:tc>
          <w:tcPr>
            <w:tcW w:type="dxa" w:w="2340"/>
            <w:vAlign w:val="center"/>
            <w:shd w:fill="F8FAFC"/>
          </w:tcPr>
          <w:p>
            <w:pPr>
              <w:spacing w:after="40"/>
            </w:pPr>
            <w:r>
              <w:rPr>
                <w:rFonts w:ascii="Calibri" w:hAnsi="Calibri" w:eastAsia="Songti SC"/>
                <w:b/>
                <w:color w:val="667085"/>
                <w:sz w:val="17"/>
              </w:rPr>
              <w:t>活跃链条</w:t>
              <w:br/>
            </w:r>
            <w:r>
              <w:rPr>
                <w:rFonts w:ascii="Calibri" w:hAnsi="Calibri" w:eastAsia="Songti SC"/>
                <w:b/>
                <w:color w:val="A8731B"/>
                <w:sz w:val="36"/>
              </w:rPr>
              <w:t>6</w:t>
            </w:r>
          </w:p>
        </w:tc>
        <w:tc>
          <w:tcPr>
            <w:tcW w:type="dxa" w:w="2340"/>
            <w:vAlign w:val="center"/>
            <w:shd w:fill="F8FAFC"/>
          </w:tcPr>
          <w:p>
            <w:pPr>
              <w:spacing w:after="40"/>
            </w:pPr>
            <w:r>
              <w:rPr>
                <w:rFonts w:ascii="Calibri" w:hAnsi="Calibri" w:eastAsia="Songti SC"/>
                <w:b/>
                <w:color w:val="667085"/>
                <w:sz w:val="17"/>
              </w:rPr>
              <w:t>风险信号</w:t>
              <w:br/>
            </w:r>
            <w:r>
              <w:rPr>
                <w:rFonts w:ascii="Calibri" w:hAnsi="Calibri" w:eastAsia="Songti S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24-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Songti SC"/>
          <w:b/>
          <w:color w:val="285B9D"/>
          <w:sz w:val="21"/>
        </w:rPr>
        <w:t xml:space="preserve">主线判断: </w:t>
      </w:r>
      <w:hyperlink r:id="rId12">
        <w:r>
          <w:rPr>
            <w:color w:val="285B9D"/>
            <w:u w:val="single"/>
            <w:rFonts w:eastAsia="Songti SC" w:ascii="Calibri" w:hAnsi="Calibri"/>
          </w:rPr>
          <w:t>AI 基础设施电力瓶颈与算力部署约束 - 2026-06-24 是今日最高权重结论，核心证据来自 未识别，关联 AI 基础设施。</w:t>
        </w:r>
      </w:hyperlink>
    </w:p>
    <w:p>
      <w:pPr>
        <w:spacing w:after="140"/>
        <w:ind w:left="259" w:hanging="259"/>
      </w:pPr>
      <w:r>
        <w:rPr>
          <w:rFonts w:ascii="Calibri" w:hAnsi="Calibri" w:eastAsia="Songti SC"/>
          <w:b/>
          <w:color w:val="285B9D"/>
          <w:sz w:val="21"/>
        </w:rPr>
        <w:t xml:space="preserve">变化信号: </w:t>
      </w:r>
      <w:r>
        <w:rPr>
          <w:rFonts w:ascii="Calibri" w:hAnsi="Calibri" w:eastAsia="Songti SC"/>
          <w:color w:val="111827"/>
          <w:sz w:val="21"/>
        </w:rPr>
        <w:t>宏观 今日 降温，当日计数 157，前一日计数 185。</w:t>
      </w:r>
    </w:p>
    <w:p>
      <w:pPr>
        <w:spacing w:after="140"/>
        <w:ind w:left="259" w:hanging="259"/>
      </w:pPr>
      <w:r>
        <w:rPr>
          <w:rFonts w:ascii="Calibri" w:hAnsi="Calibri" w:eastAsia="Songti SC"/>
          <w:b/>
          <w:color w:val="285B9D"/>
          <w:sz w:val="21"/>
        </w:rPr>
        <w:t xml:space="preserve">风险焦点: </w:t>
      </w:r>
      <w:hyperlink r:id="rId13">
        <w:r>
          <w:rPr>
            <w:color w:val="285B9D"/>
            <w:u w:val="single"/>
            <w:rFonts w:eastAsia="Songti SC" w:ascii="Calibri" w:hAnsi="Calibri"/>
          </w:rPr>
          <w:t>风险矩阵最需要跟踪的是 工业供给瓶颈：2026-06-20 半导体压力测试：电网交付约束下的 AI 芯片架构。</w:t>
        </w:r>
      </w:hyperlink>
    </w:p>
    <w:p>
      <w:pPr>
        <w:spacing w:after="140"/>
        <w:ind w:left="259" w:hanging="259"/>
      </w:pPr>
      <w:r>
        <w:rPr>
          <w:rFonts w:ascii="Calibri" w:hAnsi="Calibri" w:eastAsia="Songti SC"/>
          <w:b/>
          <w:color w:val="285B9D"/>
          <w:sz w:val="21"/>
        </w:rPr>
        <w:t xml:space="preserve">证据密度: </w:t>
      </w:r>
      <w:hyperlink r:id="rId14">
        <w:r>
          <w:rPr>
            <w:color w:val="285B9D"/>
            <w:u w:val="single"/>
            <w:rFonts w:eastAsia="Songti SC" w:ascii="Calibri" w:hAnsi="Calibri"/>
          </w:rPr>
          <w:t>宏观通胀传导 今日 207 条、近七日 1536 条，风险信号 1147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Songti SC"/>
                <w:b/>
                <w:color w:val="7A5A00"/>
                <w:sz w:val="21"/>
              </w:rPr>
              <w:t xml:space="preserve">投资解读: </w:t>
            </w:r>
            <w:r>
              <w:rPr>
                <w:rFonts w:ascii="Calibri" w:hAnsi="Calibri" w:eastAsia="Songti S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24-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24-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24-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24-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Songti S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Songti SC"/>
          <w:b/>
          <w:i w:val="0"/>
          <w:color w:val="0B2545"/>
          <w:sz w:val="23"/>
        </w:rPr>
        <w:t>1. AI 基础设施电力瓶颈与算力部署约束 - 2026-06-24</w:t>
      </w:r>
    </w:p>
    <w:p>
      <w:pPr>
        <w:spacing w:before="0" w:after="40" w:line="264" w:lineRule="auto"/>
      </w:pPr>
      <w:r>
        <w:rPr>
          <w:rFonts w:ascii="Calibri" w:hAnsi="Calibri" w:eastAsia="Songti SC"/>
          <w:b w:val="0"/>
          <w:i w:val="0"/>
          <w:color w:val="667085"/>
          <w:sz w:val="17"/>
        </w:rPr>
        <w:t>未识别 · AI 基础设施 · score 56.6</w:t>
      </w:r>
    </w:p>
    <w:p>
      <w:pPr>
        <w:spacing w:before="0" w:after="100" w:line="264" w:lineRule="auto"/>
      </w:pPr>
      <w:r>
        <w:rPr>
          <w:rFonts w:ascii="Calibri" w:hAnsi="Calibri" w:eastAsia="Songti SC"/>
          <w:b w:val="0"/>
          <w:i w:val="0"/>
          <w:color w:val="334155"/>
          <w:sz w:val="20"/>
        </w:rPr>
        <w:t>首段日期 2026-06-24：我支持前序研究的推理方向。证据显示，AI 基础设施的核心约束正在变成 "speed-to-power"：超大规模云厂商批准 AI capex 的速度，快于公用事业侧完成变电站、输电、变压器...</w:t>
      </w:r>
    </w:p>
    <w:p>
      <w:pPr>
        <w:spacing w:before="0" w:after="160" w:line="264" w:lineRule="auto"/>
      </w:pPr>
      <w:r>
        <w:rPr>
          <w:rFonts w:ascii="Calibri" w:hAnsi="Calibri" w:eastAsia="Songti SC"/>
          <w:b w:val="0"/>
          <w:i w:val="0"/>
          <w:color w:val="667085"/>
          <w:sz w:val="17"/>
        </w:rPr>
        <w:t xml:space="preserve">Report: </w:t>
      </w:r>
      <w:hyperlink r:id="rId12">
        <w:r>
          <w:rPr>
            <w:color w:val="285B9D"/>
            <w:u w:val="single"/>
            <w:rFonts w:eastAsia="Songti SC" w:ascii="Calibri" w:hAnsi="Calibri"/>
          </w:rPr>
          <w:t>reports/archive-d44d669b6e8e</w:t>
        </w:r>
      </w:hyperlink>
    </w:p>
    <w:p>
      <w:pPr>
        <w:spacing w:before="0" w:after="40" w:line="264" w:lineRule="auto"/>
      </w:pPr>
      <w:r>
        <w:rPr>
          <w:rFonts w:ascii="Calibri" w:hAnsi="Calibri" w:eastAsia="Songti SC"/>
          <w:b/>
          <w:i w:val="0"/>
          <w:color w:val="0B2545"/>
          <w:sz w:val="23"/>
        </w:rPr>
        <w:t>2. AI算力扩张下的电力供给与电网瓶颈风险 - 2026-06-24</w:t>
      </w:r>
    </w:p>
    <w:p>
      <w:pPr>
        <w:spacing w:before="0" w:after="40" w:line="264" w:lineRule="auto"/>
      </w:pPr>
      <w:r>
        <w:rPr>
          <w:rFonts w:ascii="Calibri" w:hAnsi="Calibri" w:eastAsia="Songti SC"/>
          <w:b w:val="0"/>
          <w:i w:val="0"/>
          <w:color w:val="667085"/>
          <w:sz w:val="17"/>
        </w:rPr>
        <w:t>未识别 · AI 基础设施 · score 54.2</w:t>
      </w:r>
    </w:p>
    <w:p>
      <w:pPr>
        <w:spacing w:before="0" w:after="100" w:line="264" w:lineRule="auto"/>
      </w:pPr>
      <w:r>
        <w:rPr>
          <w:rFonts w:ascii="Calibri" w:hAnsi="Calibri" w:eastAsia="Songti SC"/>
          <w:b w:val="0"/>
          <w:i w:val="0"/>
          <w:color w:val="334155"/>
          <w:sz w:val="20"/>
        </w:rPr>
        <w:t>研究研究记录 · 能源行业分析师 · 工作日期：2026-06-24（Asia/Singapore） 根主题： CPO“量产延期”谣言与AI硬件基本面交付的真空博弈 主题： AI算力扩张下的电力供给与电网瓶颈风险 立场：...</w:t>
      </w:r>
    </w:p>
    <w:p>
      <w:pPr>
        <w:spacing w:before="0" w:after="160" w:line="264" w:lineRule="auto"/>
      </w:pPr>
      <w:r>
        <w:rPr>
          <w:rFonts w:ascii="Calibri" w:hAnsi="Calibri" w:eastAsia="Songti SC"/>
          <w:b w:val="0"/>
          <w:i w:val="0"/>
          <w:color w:val="667085"/>
          <w:sz w:val="17"/>
        </w:rPr>
        <w:t xml:space="preserve">Report: </w:t>
      </w:r>
      <w:hyperlink r:id="rId19">
        <w:r>
          <w:rPr>
            <w:color w:val="285B9D"/>
            <w:u w:val="single"/>
            <w:rFonts w:eastAsia="Songti SC" w:ascii="Calibri" w:hAnsi="Calibri"/>
          </w:rPr>
          <w:t>reports/archive-a26ffda082da</w:t>
        </w:r>
      </w:hyperlink>
    </w:p>
    <w:p>
      <w:pPr>
        <w:spacing w:before="0" w:after="40" w:line="264" w:lineRule="auto"/>
      </w:pPr>
      <w:r>
        <w:rPr>
          <w:rFonts w:ascii="Calibri" w:hAnsi="Calibri" w:eastAsia="Songti SC"/>
          <w:b/>
          <w:i w:val="0"/>
          <w:color w:val="0B2545"/>
          <w:sz w:val="23"/>
        </w:rPr>
        <w:t>3. 电力墙之下的半导体能效革命 — 2026-06-24</w:t>
      </w:r>
    </w:p>
    <w:p>
      <w:pPr>
        <w:spacing w:before="0" w:after="40" w:line="264" w:lineRule="auto"/>
      </w:pPr>
      <w:r>
        <w:rPr>
          <w:rFonts w:ascii="Calibri" w:hAnsi="Calibri" w:eastAsia="Songti SC"/>
          <w:b w:val="0"/>
          <w:i w:val="0"/>
          <w:color w:val="667085"/>
          <w:sz w:val="17"/>
        </w:rPr>
        <w:t>未识别 · 半导体与存储 · score 54.0</w:t>
      </w:r>
    </w:p>
    <w:p>
      <w:pPr>
        <w:spacing w:before="0" w:after="100" w:line="264" w:lineRule="auto"/>
      </w:pPr>
      <w:r>
        <w:rPr>
          <w:rFonts w:ascii="Calibri" w:hAnsi="Calibri" w:eastAsia="Songti SC"/>
          <w:b w:val="0"/>
          <w:i w:val="0"/>
          <w:color w:val="334155"/>
          <w:sz w:val="20"/>
        </w:rPr>
        <w:t>研究研究记录 · 半导体分析师 · 工作日期：2026-06-24（亚洲/新加坡） 根主题： CPO"量产延期"谣言与AI硬件基本面交付的真空博弈 当前主题： 电力瓶颈下的半导体能效革命——先进封装与低功耗...</w:t>
      </w:r>
    </w:p>
    <w:p>
      <w:pPr>
        <w:spacing w:before="0" w:after="160" w:line="264" w:lineRule="auto"/>
      </w:pPr>
      <w:r>
        <w:rPr>
          <w:rFonts w:ascii="Calibri" w:hAnsi="Calibri" w:eastAsia="Songti SC"/>
          <w:b w:val="0"/>
          <w:i w:val="0"/>
          <w:color w:val="667085"/>
          <w:sz w:val="17"/>
        </w:rPr>
        <w:t xml:space="preserve">Report: </w:t>
      </w:r>
      <w:hyperlink r:id="rId20">
        <w:r>
          <w:rPr>
            <w:color w:val="285B9D"/>
            <w:u w:val="single"/>
            <w:rFonts w:eastAsia="Songti SC" w:ascii="Calibri" w:hAnsi="Calibri"/>
          </w:rPr>
          <w:t>reports/archive-4610d4edd837</w:t>
        </w:r>
      </w:hyperlink>
    </w:p>
    <w:p>
      <w:pPr>
        <w:spacing w:before="0" w:after="40" w:line="264" w:lineRule="auto"/>
      </w:pPr>
      <w:r>
        <w:rPr>
          <w:rFonts w:ascii="Calibri" w:hAnsi="Calibri" w:eastAsia="Songti SC"/>
          <w:b/>
          <w:i w:val="0"/>
          <w:color w:val="0B2545"/>
          <w:sz w:val="23"/>
        </w:rPr>
        <w:t>4. 液冷与先进封装材料落地对AI集群功率密度与Capex效率的影响</w:t>
      </w:r>
    </w:p>
    <w:p>
      <w:pPr>
        <w:spacing w:before="0" w:after="40" w:line="264" w:lineRule="auto"/>
      </w:pPr>
      <w:r>
        <w:rPr>
          <w:rFonts w:ascii="Calibri" w:hAnsi="Calibri" w:eastAsia="Songti SC"/>
          <w:b w:val="0"/>
          <w:i w:val="0"/>
          <w:color w:val="667085"/>
          <w:sz w:val="17"/>
        </w:rPr>
        <w:t>未识别 · AI 基础设施 · score 47.7</w:t>
      </w:r>
    </w:p>
    <w:p>
      <w:pPr>
        <w:spacing w:before="0" w:after="100" w:line="264" w:lineRule="auto"/>
      </w:pPr>
      <w:r>
        <w:rPr>
          <w:rFonts w:ascii="Calibri" w:hAnsi="Calibri" w:eastAsia="Songti SC"/>
          <w:b w:val="0"/>
          <w:i w:val="0"/>
          <w:color w:val="334155"/>
          <w:sz w:val="20"/>
        </w:rPr>
        <w:t>研究记录 · 作者： AI基础设施分析师（ ai-infrastructure-analyst ） 锚定工作日： 2026-06-24（亚洲/新加坡） 立场： 压力测试（针对"液冷+玻璃基板因集成复杂性 拉低 超大规模云厂商Capex效...</w:t>
      </w:r>
    </w:p>
    <w:p>
      <w:pPr>
        <w:spacing w:before="0" w:after="160" w:line="264" w:lineRule="auto"/>
      </w:pPr>
      <w:r>
        <w:rPr>
          <w:rFonts w:ascii="Calibri" w:hAnsi="Calibri" w:eastAsia="Songti SC"/>
          <w:b w:val="0"/>
          <w:i w:val="0"/>
          <w:color w:val="667085"/>
          <w:sz w:val="17"/>
        </w:rPr>
        <w:t xml:space="preserve">Report: </w:t>
      </w:r>
      <w:hyperlink r:id="rId21">
        <w:r>
          <w:rPr>
            <w:color w:val="285B9D"/>
            <w:u w:val="single"/>
            <w:rFonts w:eastAsia="Songti SC" w:ascii="Calibri" w:hAnsi="Calibri"/>
          </w:rPr>
          <w:t>reports/archive-b913464783c7</w:t>
        </w:r>
      </w:hyperlink>
    </w:p>
    <w:p>
      <w:pPr>
        <w:spacing w:before="0" w:after="40" w:line="264" w:lineRule="auto"/>
      </w:pPr>
      <w:r>
        <w:rPr>
          <w:rFonts w:ascii="Calibri" w:hAnsi="Calibri" w:eastAsia="Songti SC"/>
          <w:b/>
          <w:i w:val="0"/>
          <w:color w:val="0B2545"/>
          <w:sz w:val="23"/>
        </w:rPr>
        <w:t>5. 电网成本压力下的AI芯片演进：先进封装与能效的技术边界</w:t>
      </w:r>
    </w:p>
    <w:p>
      <w:pPr>
        <w:spacing w:before="0" w:after="40" w:line="264" w:lineRule="auto"/>
      </w:pPr>
      <w:r>
        <w:rPr>
          <w:rFonts w:ascii="Calibri" w:hAnsi="Calibri" w:eastAsia="Songti SC"/>
          <w:b w:val="0"/>
          <w:i w:val="0"/>
          <w:color w:val="667085"/>
          <w:sz w:val="17"/>
        </w:rPr>
        <w:t>未识别 · 半导体与存储 · score 47.6</w:t>
      </w:r>
    </w:p>
    <w:p>
      <w:pPr>
        <w:spacing w:before="0" w:after="100" w:line="264" w:lineRule="auto"/>
      </w:pPr>
      <w:r>
        <w:rPr>
          <w:rFonts w:ascii="Calibri" w:hAnsi="Calibri" w:eastAsia="Songti SC"/>
          <w:b w:val="0"/>
          <w:i w:val="0"/>
          <w:color w:val="334155"/>
          <w:sz w:val="20"/>
        </w:rPr>
        <w:t>电网成本压力下的AI芯片演进：先进封装与能效的技术边界 半导体行业研究报告 — 2026年6月24日</w:t>
      </w:r>
    </w:p>
    <w:p>
      <w:pPr>
        <w:spacing w:before="0" w:after="160" w:line="264" w:lineRule="auto"/>
      </w:pPr>
      <w:r>
        <w:rPr>
          <w:rFonts w:ascii="Calibri" w:hAnsi="Calibri" w:eastAsia="Songti SC"/>
          <w:b w:val="0"/>
          <w:i w:val="0"/>
          <w:color w:val="667085"/>
          <w:sz w:val="17"/>
        </w:rPr>
        <w:t xml:space="preserve">Report: </w:t>
      </w:r>
      <w:hyperlink r:id="rId22">
        <w:r>
          <w:rPr>
            <w:color w:val="285B9D"/>
            <w:u w:val="single"/>
            <w:rFonts w:eastAsia="Songti SC" w:ascii="Calibri" w:hAnsi="Calibri"/>
          </w:rPr>
          <w:t>reports/archive-c90b56777490</w:t>
        </w:r>
      </w:hyperlink>
    </w:p>
    <w:p>
      <w:pPr>
        <w:spacing w:before="0" w:after="40" w:line="264" w:lineRule="auto"/>
      </w:pPr>
      <w:r>
        <w:rPr>
          <w:rFonts w:ascii="Calibri" w:hAnsi="Calibri" w:eastAsia="Songti SC"/>
          <w:b/>
          <w:i w:val="0"/>
          <w:color w:val="0B2545"/>
          <w:sz w:val="23"/>
        </w:rPr>
        <w:t>6. 电网配电与输电侧关键设备：AI资本开支周期的终极物理天花板</w:t>
      </w:r>
    </w:p>
    <w:p>
      <w:pPr>
        <w:spacing w:before="0" w:after="40" w:line="264" w:lineRule="auto"/>
      </w:pPr>
      <w:r>
        <w:rPr>
          <w:rFonts w:ascii="Calibri" w:hAnsi="Calibri" w:eastAsia="Songti SC"/>
          <w:b w:val="0"/>
          <w:i w:val="0"/>
          <w:color w:val="667085"/>
          <w:sz w:val="17"/>
        </w:rPr>
        <w:t>未识别 · 工业供给瓶颈 · score 47.3</w:t>
      </w:r>
    </w:p>
    <w:p>
      <w:pPr>
        <w:spacing w:before="0" w:after="100" w:line="264" w:lineRule="auto"/>
      </w:pPr>
      <w:r>
        <w:rPr>
          <w:rFonts w:ascii="Calibri" w:hAnsi="Calibri" w:eastAsia="Songti SC"/>
          <w:b w:val="0"/>
          <w:i w:val="0"/>
          <w:color w:val="334155"/>
          <w:sz w:val="20"/>
        </w:rPr>
        <w:t>电网配电与输电侧关键设备：AI资本开支周期的终极物理天花板 工作日期：2026-06-24（亚洲/新加坡） 分析师：工业制造分析师 (industrials-analyst) 立场：压力测试 (Stress-Test)</w:t>
      </w:r>
    </w:p>
    <w:p>
      <w:pPr>
        <w:spacing w:before="0" w:after="160" w:line="264" w:lineRule="auto"/>
      </w:pPr>
      <w:r>
        <w:rPr>
          <w:rFonts w:ascii="Calibri" w:hAnsi="Calibri" w:eastAsia="Songti SC"/>
          <w:b w:val="0"/>
          <w:i w:val="0"/>
          <w:color w:val="667085"/>
          <w:sz w:val="17"/>
        </w:rPr>
        <w:t xml:space="preserve">Report: </w:t>
      </w:r>
      <w:hyperlink r:id="rId23">
        <w:r>
          <w:rPr>
            <w:color w:val="285B9D"/>
            <w:u w:val="single"/>
            <w:rFonts w:eastAsia="Songti SC" w:ascii="Calibri" w:hAnsi="Calibri"/>
          </w:rPr>
          <w:t>reports/archive-cb42781699ee</w:t>
        </w:r>
      </w:hyperlink>
    </w:p>
    <w:p>
      <w:pPr>
        <w:pStyle w:val="Heading1"/>
      </w:pPr>
      <w:r>
        <w:t>4. 重点跟踪事项</w:t>
      </w:r>
    </w:p>
    <w:p>
      <w:pPr>
        <w:spacing w:before="0" w:after="40" w:line="264" w:lineRule="auto"/>
      </w:pPr>
      <w:r>
        <w:rPr>
          <w:rFonts w:ascii="Calibri" w:hAnsi="Calibri" w:eastAsia="Songti SC"/>
          <w:b/>
          <w:i w:val="0"/>
          <w:color w:val="0B2545"/>
          <w:sz w:val="22"/>
        </w:rPr>
        <w:t>2026-06-20 半导体压力测试：电网交付约束下的 AI 芯片架构</w:t>
      </w:r>
    </w:p>
    <w:p>
      <w:pPr>
        <w:spacing w:before="0" w:after="60" w:line="264" w:lineRule="auto"/>
      </w:pPr>
      <w:r>
        <w:rPr>
          <w:rFonts w:ascii="Calibri" w:hAnsi="Calibri" w:eastAsia="Songti SC"/>
          <w:b w:val="0"/>
          <w:i w:val="0"/>
          <w:color w:val="334155"/>
          <w:sz w:val="20"/>
        </w:rPr>
        <w:t>工业供给瓶颈，影响 5 / 概率 3</w:t>
      </w:r>
    </w:p>
    <w:p>
      <w:pPr>
        <w:spacing w:before="0" w:after="160" w:line="264" w:lineRule="auto"/>
      </w:pPr>
      <w:r>
        <w:rPr>
          <w:rFonts w:ascii="Calibri" w:hAnsi="Calibri" w:eastAsia="Songti SC"/>
          <w:b w:val="0"/>
          <w:i w:val="0"/>
          <w:color w:val="667085"/>
          <w:sz w:val="17"/>
        </w:rPr>
        <w:t xml:space="preserve">Report: </w:t>
      </w:r>
      <w:hyperlink r:id="rId13">
        <w:r>
          <w:rPr>
            <w:color w:val="285B9D"/>
            <w:u w:val="single"/>
            <w:rFonts w:eastAsia="Songti SC" w:ascii="Calibri" w:hAnsi="Calibri"/>
          </w:rPr>
          <w:t>reports/archive-3c4c82a3cb4b</w:t>
        </w:r>
      </w:hyperlink>
    </w:p>
    <w:p>
      <w:pPr>
        <w:spacing w:before="0" w:after="40" w:line="264" w:lineRule="auto"/>
      </w:pPr>
      <w:r>
        <w:rPr>
          <w:rFonts w:ascii="Calibri" w:hAnsi="Calibri" w:eastAsia="Songti SC"/>
          <w:b/>
          <w:i w:val="0"/>
          <w:color w:val="0B2545"/>
          <w:sz w:val="22"/>
        </w:rPr>
        <w:t>终审质量审计：AI至电网基础设施白皮书 — 2026-06-18</w:t>
      </w:r>
    </w:p>
    <w:p>
      <w:pPr>
        <w:spacing w:before="0" w:after="60" w:line="264" w:lineRule="auto"/>
      </w:pPr>
      <w:r>
        <w:rPr>
          <w:rFonts w:ascii="Calibri" w:hAnsi="Calibri" w:eastAsia="Songti SC"/>
          <w:b w:val="0"/>
          <w:i w:val="0"/>
          <w:color w:val="334155"/>
          <w:sz w:val="20"/>
        </w:rPr>
        <w:t>AI 基础设施，影响 5 / 概率 1</w:t>
      </w:r>
    </w:p>
    <w:p>
      <w:pPr>
        <w:spacing w:before="0" w:after="160" w:line="264" w:lineRule="auto"/>
      </w:pPr>
      <w:r>
        <w:rPr>
          <w:rFonts w:ascii="Calibri" w:hAnsi="Calibri" w:eastAsia="Songti SC"/>
          <w:b w:val="0"/>
          <w:i w:val="0"/>
          <w:color w:val="667085"/>
          <w:sz w:val="17"/>
        </w:rPr>
        <w:t xml:space="preserve">Report: </w:t>
      </w:r>
      <w:hyperlink r:id="rId24">
        <w:r>
          <w:rPr>
            <w:color w:val="285B9D"/>
            <w:u w:val="single"/>
            <w:rFonts w:eastAsia="Songti SC" w:ascii="Calibri" w:hAnsi="Calibri"/>
          </w:rPr>
          <w:t>reports/archive-9906cc6fde45</w:t>
        </w:r>
      </w:hyperlink>
    </w:p>
    <w:p>
      <w:pPr>
        <w:spacing w:before="0" w:after="40" w:line="264" w:lineRule="auto"/>
      </w:pPr>
      <w:r>
        <w:rPr>
          <w:rFonts w:ascii="Calibri" w:hAnsi="Calibri" w:eastAsia="Songti SC"/>
          <w:b/>
          <w:i w:val="0"/>
          <w:color w:val="0B2545"/>
          <w:sz w:val="22"/>
        </w:rPr>
        <w:t>电网与能源瓶颈下的半导体先进封装与HBM产能演进</w:t>
      </w:r>
    </w:p>
    <w:p>
      <w:pPr>
        <w:spacing w:before="0" w:after="60" w:line="264" w:lineRule="auto"/>
      </w:pPr>
      <w:r>
        <w:rPr>
          <w:rFonts w:ascii="Calibri" w:hAnsi="Calibri" w:eastAsia="Songti SC"/>
          <w:b w:val="0"/>
          <w:i w:val="0"/>
          <w:color w:val="334155"/>
          <w:sz w:val="20"/>
        </w:rPr>
        <w:t>AI 基础设施，影响 5 / 概率 5</w:t>
      </w:r>
    </w:p>
    <w:p>
      <w:pPr>
        <w:spacing w:before="0" w:after="160" w:line="264" w:lineRule="auto"/>
      </w:pPr>
      <w:r>
        <w:rPr>
          <w:rFonts w:ascii="Calibri" w:hAnsi="Calibri" w:eastAsia="Songti SC"/>
          <w:b w:val="0"/>
          <w:i w:val="0"/>
          <w:color w:val="667085"/>
          <w:sz w:val="17"/>
        </w:rPr>
        <w:t xml:space="preserve">Report: </w:t>
      </w:r>
      <w:hyperlink r:id="rId25">
        <w:r>
          <w:rPr>
            <w:color w:val="285B9D"/>
            <w:u w:val="single"/>
            <w:rFonts w:eastAsia="Songti SC" w:ascii="Calibri" w:hAnsi="Calibri"/>
          </w:rPr>
          <w:t>reports/archive-66774edec163</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Songti SC"/>
                <w:b/>
                <w:color w:val="475569"/>
                <w:sz w:val="18"/>
              </w:rPr>
              <w:t>报告</w:t>
            </w:r>
          </w:p>
        </w:tc>
        <w:tc>
          <w:tcPr>
            <w:tcW w:type="dxa" w:w="1560"/>
            <w:vAlign w:val="center"/>
            <w:shd w:fill="F2F4F7"/>
          </w:tcPr>
          <w:p>
            <w:pPr>
              <w:spacing w:before="0" w:after="0"/>
              <w:jc w:val="center"/>
            </w:pPr>
            <w:r/>
            <w:r>
              <w:rPr>
                <w:rFonts w:ascii="Calibri" w:hAnsi="Calibri" w:eastAsia="Songti SC"/>
                <w:b/>
                <w:color w:val="475569"/>
                <w:sz w:val="18"/>
              </w:rPr>
              <w:t>分析师</w:t>
            </w:r>
          </w:p>
        </w:tc>
        <w:tc>
          <w:tcPr>
            <w:tcW w:type="dxa" w:w="1680"/>
            <w:vAlign w:val="center"/>
            <w:shd w:fill="F2F4F7"/>
          </w:tcPr>
          <w:p>
            <w:pPr>
              <w:spacing w:before="0" w:after="0"/>
              <w:jc w:val="center"/>
            </w:pPr>
            <w:r/>
            <w:r>
              <w:rPr>
                <w:rFonts w:ascii="Calibri" w:hAnsi="Calibri" w:eastAsia="Songti SC"/>
                <w:b/>
                <w:color w:val="475569"/>
                <w:sz w:val="18"/>
              </w:rPr>
              <w:t>行业链</w:t>
            </w:r>
          </w:p>
        </w:tc>
        <w:tc>
          <w:tcPr>
            <w:tcW w:type="dxa" w:w="900"/>
            <w:vAlign w:val="center"/>
            <w:shd w:fill="F2F4F7"/>
          </w:tcPr>
          <w:p>
            <w:pPr>
              <w:spacing w:before="0" w:after="0"/>
              <w:jc w:val="center"/>
            </w:pPr>
            <w:r/>
            <w:r>
              <w:rPr>
                <w:rFonts w:ascii="Calibri" w:hAnsi="Calibri" w:eastAsia="Songti SC"/>
                <w:b/>
                <w:color w:val="475569"/>
                <w:sz w:val="18"/>
              </w:rPr>
              <w:t>评分</w:t>
            </w:r>
          </w:p>
        </w:tc>
        <w:tc>
          <w:tcPr>
            <w:tcW w:type="dxa" w:w="1500"/>
            <w:vAlign w:val="center"/>
            <w:shd w:fill="F2F4F7"/>
          </w:tcPr>
          <w:p>
            <w:pPr>
              <w:spacing w:before="0" w:after="0"/>
              <w:jc w:val="center"/>
            </w:pPr>
            <w:r/>
            <w:r>
              <w:rPr>
                <w:rFonts w:ascii="Calibri" w:hAnsi="Calibri" w:eastAsia="Songti SC"/>
                <w:b/>
                <w:color w:val="475569"/>
                <w:sz w:val="18"/>
              </w:rPr>
              <w:t>风险</w:t>
            </w:r>
          </w:p>
        </w:tc>
      </w:tr>
      <w:tr>
        <w:tc>
          <w:tcPr>
            <w:tcW w:type="dxa" w:w="3720"/>
            <w:vAlign w:val="center"/>
          </w:tcPr>
          <w:p>
            <w:pPr>
              <w:spacing w:before="0" w:after="0"/>
            </w:pPr>
            <w:r/>
            <w:r>
              <w:rPr>
                <w:rFonts w:ascii="Calibri" w:hAnsi="Calibri" w:eastAsia="Songti SC"/>
                <w:b w:val="0"/>
                <w:color w:val="111827"/>
                <w:sz w:val="17"/>
              </w:rPr>
              <w:t>AI 基础设施电力瓶颈与算力部署约束 - 2026-06-24</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56.6</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AI算力扩张下的电力供给与电网瓶颈风险 - 2026-06-24</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54.2</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电力墙之下的半导体能效革命 — 2026-06-24</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半导体与存储</w:t>
            </w:r>
          </w:p>
        </w:tc>
        <w:tc>
          <w:tcPr>
            <w:tcW w:type="dxa" w:w="900"/>
            <w:vAlign w:val="center"/>
          </w:tcPr>
          <w:p>
            <w:pPr>
              <w:spacing w:before="0" w:after="0"/>
              <w:jc w:val="center"/>
            </w:pPr>
            <w:r/>
            <w:r>
              <w:rPr>
                <w:rFonts w:ascii="Calibri" w:hAnsi="Calibri" w:eastAsia="Songti SC"/>
                <w:b/>
                <w:color w:val="111827"/>
                <w:sz w:val="17"/>
              </w:rPr>
              <w:t>54.0</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液冷与先进封装材料落地对AI集群功率密度与Capex效率的影响</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47.7</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电网成本压力下的AI芯片演进：先进封装与能效的技术边界</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半导体与存储</w:t>
            </w:r>
          </w:p>
        </w:tc>
        <w:tc>
          <w:tcPr>
            <w:tcW w:type="dxa" w:w="900"/>
            <w:vAlign w:val="center"/>
          </w:tcPr>
          <w:p>
            <w:pPr>
              <w:spacing w:before="0" w:after="0"/>
              <w:jc w:val="center"/>
            </w:pPr>
            <w:r/>
            <w:r>
              <w:rPr>
                <w:rFonts w:ascii="Calibri" w:hAnsi="Calibri" w:eastAsia="Songti SC"/>
                <w:b/>
                <w:color w:val="111827"/>
                <w:sz w:val="17"/>
              </w:rPr>
              <w:t>47.6</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电网配电与输电侧关键设备：AI资本开支周期的终极物理天花板</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工业供给瓶颈</w:t>
            </w:r>
          </w:p>
        </w:tc>
        <w:tc>
          <w:tcPr>
            <w:tcW w:type="dxa" w:w="900"/>
            <w:vAlign w:val="center"/>
          </w:tcPr>
          <w:p>
            <w:pPr>
              <w:spacing w:before="0" w:after="0"/>
              <w:jc w:val="center"/>
            </w:pPr>
            <w:r/>
            <w:r>
              <w:rPr>
                <w:rFonts w:ascii="Calibri" w:hAnsi="Calibri" w:eastAsia="Songti SC"/>
                <w:b/>
                <w:color w:val="111827"/>
                <w:sz w:val="17"/>
              </w:rPr>
              <w:t>47.3</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研究记录：取向硅钢与铜是变压器产出的材料卡点，但GOES才是更干净的二阶导标的</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工业供给瓶颈</w:t>
            </w:r>
          </w:p>
        </w:tc>
        <w:tc>
          <w:tcPr>
            <w:tcW w:type="dxa" w:w="900"/>
            <w:vAlign w:val="center"/>
          </w:tcPr>
          <w:p>
            <w:pPr>
              <w:spacing w:before="0" w:after="0"/>
              <w:jc w:val="center"/>
            </w:pPr>
            <w:r/>
            <w:r>
              <w:rPr>
                <w:rFonts w:ascii="Calibri" w:hAnsi="Calibri" w:eastAsia="Songti SC"/>
                <w:b/>
                <w:color w:val="111827"/>
                <w:sz w:val="17"/>
              </w:rPr>
              <w:t>47.2</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电网瓶颈 vs. AI算力爆发：电力基础设施配置的产能供给弹性与估值上限验证</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47.2</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电力电网瓶颈对“红利+铜”杠铃组合成本压力的传导分析报告</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电力与电网</w:t>
            </w:r>
          </w:p>
        </w:tc>
        <w:tc>
          <w:tcPr>
            <w:tcW w:type="dxa" w:w="900"/>
            <w:vAlign w:val="center"/>
          </w:tcPr>
          <w:p>
            <w:pPr>
              <w:spacing w:before="0" w:after="0"/>
              <w:jc w:val="center"/>
            </w:pPr>
            <w:r/>
            <w:r>
              <w:rPr>
                <w:rFonts w:ascii="Calibri" w:hAnsi="Calibri" w:eastAsia="Songti SC"/>
                <w:b/>
                <w:color w:val="111827"/>
                <w:sz w:val="17"/>
              </w:rPr>
              <w:t>45.4</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算力与电力瓶颈下A股半导体与AI板块的估值重构</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45.0</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出口管制压力测试：先进封装、HBM与中国国产替代上限 — 2026-06-24</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45.0</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研究记录：关键电网材料（GOES/铜）的贸易政策与供应链安全分析</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工业供给瓶颈</w:t>
            </w:r>
          </w:p>
        </w:tc>
        <w:tc>
          <w:tcPr>
            <w:tcW w:type="dxa" w:w="900"/>
            <w:vAlign w:val="center"/>
          </w:tcPr>
          <w:p>
            <w:pPr>
              <w:spacing w:before="0" w:after="0"/>
              <w:jc w:val="center"/>
            </w:pPr>
            <w:r/>
            <w:r>
              <w:rPr>
                <w:rFonts w:ascii="Calibri" w:hAnsi="Calibri" w:eastAsia="Songti SC"/>
                <w:b/>
                <w:color w:val="111827"/>
                <w:sz w:val="17"/>
              </w:rPr>
              <w:t>44.9</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宏观需求下行压力下的家装需求复苏潜力与产能利用率修复路径评估</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44.6</w:t>
            </w:r>
          </w:p>
        </w:tc>
        <w:tc>
          <w:tcPr>
            <w:tcW w:type="dxa" w:w="1500"/>
            <w:vAlign w:val="center"/>
          </w:tcPr>
          <w:p>
            <w:pPr>
              <w:spacing w:before="0" w:after="0"/>
              <w:jc w:val="center"/>
            </w:pPr>
            <w:r/>
            <w:r>
              <w:rPr>
                <w:rFonts w:ascii="Calibri" w:hAnsi="Calibri" w:eastAsia="Songti SC"/>
                <w:b w:val="0"/>
                <w:color w:val="111827"/>
                <w:sz w:val="16"/>
              </w:rPr>
              <w:t>风险 3</w:t>
            </w:r>
          </w:p>
        </w:tc>
      </w:tr>
      <w:tr>
        <w:tc>
          <w:tcPr>
            <w:tcW w:type="dxa" w:w="3720"/>
            <w:vAlign w:val="center"/>
          </w:tcPr>
          <w:p>
            <w:pPr>
              <w:spacing w:before="0" w:after="0"/>
            </w:pPr>
            <w:r/>
            <w:r>
              <w:rPr>
                <w:rFonts w:ascii="Calibri" w:hAnsi="Calibri" w:eastAsia="Songti SC"/>
                <w:b w:val="0"/>
                <w:color w:val="111827"/>
                <w:sz w:val="17"/>
              </w:rPr>
              <w:t>今日机构风险综合报告 (2026-06-24)</w:t>
            </w:r>
          </w:p>
        </w:tc>
        <w:tc>
          <w:tcPr>
            <w:tcW w:type="dxa" w:w="1560"/>
            <w:vAlign w:val="center"/>
          </w:tcPr>
          <w:p>
            <w:pPr>
              <w:spacing w:before="0" w:after="0"/>
            </w:pPr>
            <w:r/>
            <w:r>
              <w:rPr>
                <w:rFonts w:ascii="Calibri" w:hAnsi="Calibri" w:eastAsia="Songti SC"/>
                <w:b w:val="0"/>
                <w:color w:val="111827"/>
                <w:sz w:val="16"/>
              </w:rPr>
              <w:t>首席风控官</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44.5</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日本半导体核心材料与设备在日元升值背景下的成本传导机制评估</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工业供给瓶颈</w:t>
            </w:r>
          </w:p>
        </w:tc>
        <w:tc>
          <w:tcPr>
            <w:tcW w:type="dxa" w:w="900"/>
            <w:vAlign w:val="center"/>
          </w:tcPr>
          <w:p>
            <w:pPr>
              <w:spacing w:before="0" w:after="0"/>
              <w:jc w:val="center"/>
            </w:pPr>
            <w:r/>
            <w:r>
              <w:rPr>
                <w:rFonts w:ascii="Calibri" w:hAnsi="Calibri" w:eastAsia="Songti SC"/>
                <w:b/>
                <w:color w:val="111827"/>
                <w:sz w:val="17"/>
              </w:rPr>
              <w:t>44.2</w:t>
            </w:r>
          </w:p>
        </w:tc>
        <w:tc>
          <w:tcPr>
            <w:tcW w:type="dxa" w:w="1500"/>
            <w:vAlign w:val="center"/>
          </w:tcPr>
          <w:p>
            <w:pPr>
              <w:spacing w:before="0" w:after="0"/>
              <w:jc w:val="center"/>
            </w:pPr>
            <w:r/>
            <w:r>
              <w:rPr>
                <w:rFonts w:ascii="Calibri" w:hAnsi="Calibri" w:eastAsia="Songti SC"/>
                <w:b w:val="0"/>
                <w:color w:val="111827"/>
                <w:sz w:val="16"/>
              </w:rPr>
              <w:t>风险 1</w:t>
            </w:r>
          </w:p>
        </w:tc>
      </w:tr>
      <w:tr>
        <w:tc>
          <w:tcPr>
            <w:tcW w:type="dxa" w:w="3720"/>
            <w:vAlign w:val="center"/>
          </w:tcPr>
          <w:p>
            <w:pPr>
              <w:spacing w:before="0" w:after="0"/>
            </w:pPr>
            <w:r/>
            <w:r>
              <w:rPr>
                <w:rFonts w:ascii="Calibri" w:hAnsi="Calibri" w:eastAsia="Songti SC"/>
                <w:b w:val="0"/>
                <w:color w:val="111827"/>
                <w:sz w:val="17"/>
              </w:rPr>
              <w:t>2026-06-24 策略综合：B2C家装价格传导不足以重估产业链</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44.2</w:t>
            </w:r>
          </w:p>
        </w:tc>
        <w:tc>
          <w:tcPr>
            <w:tcW w:type="dxa" w:w="1500"/>
            <w:vAlign w:val="center"/>
          </w:tcPr>
          <w:p>
            <w:pPr>
              <w:spacing w:before="0" w:after="0"/>
              <w:jc w:val="center"/>
            </w:pPr>
            <w:r/>
            <w:r>
              <w:rPr>
                <w:rFonts w:ascii="Calibri" w:hAnsi="Calibri" w:eastAsia="Songti SC"/>
                <w:b w:val="0"/>
                <w:color w:val="111827"/>
                <w:sz w:val="16"/>
              </w:rPr>
              <w:t>风险 2</w:t>
            </w:r>
          </w:p>
        </w:tc>
      </w:tr>
      <w:tr>
        <w:tc>
          <w:tcPr>
            <w:tcW w:type="dxa" w:w="3720"/>
            <w:vAlign w:val="center"/>
          </w:tcPr>
          <w:p>
            <w:pPr>
              <w:spacing w:before="0" w:after="0"/>
            </w:pPr>
            <w:r/>
            <w:r>
              <w:rPr>
                <w:rFonts w:ascii="Calibri" w:hAnsi="Calibri" w:eastAsia="Songti SC"/>
                <w:b w:val="0"/>
                <w:color w:val="111827"/>
                <w:sz w:val="17"/>
              </w:rPr>
              <w:t>AI基础设施从算力密度转向电力效率，工作日期2026-06-24</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AI 基础设施</w:t>
            </w:r>
          </w:p>
        </w:tc>
        <w:tc>
          <w:tcPr>
            <w:tcW w:type="dxa" w:w="900"/>
            <w:vAlign w:val="center"/>
          </w:tcPr>
          <w:p>
            <w:pPr>
              <w:spacing w:before="0" w:after="0"/>
              <w:jc w:val="center"/>
            </w:pPr>
            <w:r/>
            <w:r>
              <w:rPr>
                <w:rFonts w:ascii="Calibri" w:hAnsi="Calibri" w:eastAsia="Songti SC"/>
                <w:b/>
                <w:color w:val="111827"/>
                <w:sz w:val="17"/>
              </w:rPr>
              <w:t>44.0</w:t>
            </w:r>
          </w:p>
        </w:tc>
        <w:tc>
          <w:tcPr>
            <w:tcW w:type="dxa" w:w="1500"/>
            <w:vAlign w:val="center"/>
          </w:tcPr>
          <w:p>
            <w:pPr>
              <w:spacing w:before="0" w:after="0"/>
              <w:jc w:val="center"/>
            </w:pPr>
            <w:r/>
            <w:r>
              <w:rPr>
                <w:rFonts w:ascii="Calibri" w:hAnsi="Calibri" w:eastAsia="Songti SC"/>
                <w:b w:val="0"/>
                <w:color w:val="111827"/>
                <w:sz w:val="16"/>
              </w:rPr>
              <w:t>常规</w:t>
            </w:r>
          </w:p>
        </w:tc>
      </w:tr>
      <w:tr>
        <w:tc>
          <w:tcPr>
            <w:tcW w:type="dxa" w:w="3720"/>
            <w:vAlign w:val="center"/>
          </w:tcPr>
          <w:p>
            <w:pPr>
              <w:spacing w:before="0" w:after="0"/>
            </w:pPr>
            <w:r/>
            <w:r>
              <w:rPr>
                <w:rFonts w:ascii="Calibri" w:hAnsi="Calibri" w:eastAsia="Songti SC"/>
                <w:b w:val="0"/>
                <w:color w:val="111827"/>
                <w:sz w:val="17"/>
              </w:rPr>
              <w:t>利率波动与股债利差收窄下的防御型杠铃策略压力测试分析报告</w:t>
            </w:r>
          </w:p>
        </w:tc>
        <w:tc>
          <w:tcPr>
            <w:tcW w:type="dxa" w:w="1560"/>
            <w:vAlign w:val="center"/>
          </w:tcPr>
          <w:p>
            <w:pPr>
              <w:spacing w:before="0" w:after="0"/>
            </w:pPr>
            <w:r/>
            <w:r>
              <w:rPr>
                <w:rFonts w:ascii="Calibri" w:hAnsi="Calibri" w:eastAsia="Songti SC"/>
                <w:b w:val="0"/>
                <w:color w:val="111827"/>
                <w:sz w:val="16"/>
              </w:rPr>
              <w:t>未识别</w:t>
            </w:r>
          </w:p>
        </w:tc>
        <w:tc>
          <w:tcPr>
            <w:tcW w:type="dxa" w:w="1680"/>
            <w:vAlign w:val="center"/>
          </w:tcPr>
          <w:p>
            <w:pPr>
              <w:spacing w:before="0" w:after="0"/>
            </w:pPr>
            <w:r/>
            <w:r>
              <w:rPr>
                <w:rFonts w:ascii="Calibri" w:hAnsi="Calibri" w:eastAsia="Songti SC"/>
                <w:b w:val="0"/>
                <w:color w:val="111827"/>
                <w:sz w:val="16"/>
              </w:rPr>
              <w:t>宏观通胀传导</w:t>
            </w:r>
          </w:p>
        </w:tc>
        <w:tc>
          <w:tcPr>
            <w:tcW w:type="dxa" w:w="900"/>
            <w:vAlign w:val="center"/>
          </w:tcPr>
          <w:p>
            <w:pPr>
              <w:spacing w:before="0" w:after="0"/>
              <w:jc w:val="center"/>
            </w:pPr>
            <w:r/>
            <w:r>
              <w:rPr>
                <w:rFonts w:ascii="Calibri" w:hAnsi="Calibri" w:eastAsia="Songti SC"/>
                <w:b/>
                <w:color w:val="111827"/>
                <w:sz w:val="17"/>
              </w:rPr>
              <w:t>43.7</w:t>
            </w:r>
          </w:p>
        </w:tc>
        <w:tc>
          <w:tcPr>
            <w:tcW w:type="dxa" w:w="1500"/>
            <w:vAlign w:val="center"/>
          </w:tcPr>
          <w:p>
            <w:pPr>
              <w:spacing w:before="0" w:after="0"/>
              <w:jc w:val="center"/>
            </w:pPr>
            <w:r/>
            <w:r>
              <w:rPr>
                <w:rFonts w:ascii="Calibri" w:hAnsi="Calibri" w:eastAsia="Songti SC"/>
                <w:b w:val="0"/>
                <w:color w:val="111827"/>
                <w:sz w:val="16"/>
              </w:rPr>
              <w:t>风险 1</w:t>
            </w:r>
          </w:p>
        </w:tc>
      </w:tr>
    </w:tbl>
    <w:p>
      <w:pPr>
        <w:spacing w:before="0" w:after="160" w:line="264" w:lineRule="auto"/>
      </w:pPr>
      <w:r>
        <w:rPr>
          <w:rFonts w:ascii="Calibri" w:hAnsi="Calibri" w:eastAsia="Songti S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ongti S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Songti S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Songti S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Songti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ongti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ong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Songti S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Songti S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d44d669b6e8e" TargetMode="External"/><Relationship Id="rId13" Type="http://schemas.openxmlformats.org/officeDocument/2006/relationships/hyperlink" Target="reports/archive-3c4c82a3cb4b" TargetMode="External"/><Relationship Id="rId14" Type="http://schemas.openxmlformats.org/officeDocument/2006/relationships/hyperlink" Target="reports/archive-447e8ff767f0"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a26ffda082da" TargetMode="External"/><Relationship Id="rId20" Type="http://schemas.openxmlformats.org/officeDocument/2006/relationships/hyperlink" Target="reports/archive-4610d4edd837" TargetMode="External"/><Relationship Id="rId21" Type="http://schemas.openxmlformats.org/officeDocument/2006/relationships/hyperlink" Target="reports/archive-b913464783c7" TargetMode="External"/><Relationship Id="rId22" Type="http://schemas.openxmlformats.org/officeDocument/2006/relationships/hyperlink" Target="reports/archive-c90b56777490" TargetMode="External"/><Relationship Id="rId23" Type="http://schemas.openxmlformats.org/officeDocument/2006/relationships/hyperlink" Target="reports/archive-cb42781699ee" TargetMode="External"/><Relationship Id="rId24" Type="http://schemas.openxmlformats.org/officeDocument/2006/relationships/hyperlink" Target="reports/archive-9906cc6fde45" TargetMode="External"/><Relationship Id="rId25" Type="http://schemas.openxmlformats.org/officeDocument/2006/relationships/hyperlink" Target="reports/archive-66774edec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2026-06-24</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