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2026-05-23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2026-05-23 共纳入 254 篇中文研究结果，覆盖 12 位活跃分析师和 6 条主要行业链，较 2026-05-22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254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12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3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变压器与液冷供应链对 AI 基础设施的约束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风险 今日 升温，当日计数 160，前一日计数 89。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2">
        <w:r>
          <w:rPr>
            <w:color w:val="285B9D"/>
            <w:u w:val="single"/>
            <w:rFonts w:eastAsia="Heiti TC" w:ascii="Calibri" w:hAnsi="Calibri"/>
          </w:rPr>
          <w:t>风险矩阵最需要跟踪的是 电力与电网：变压器与液冷供应链对 AI 基础设施的约束。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3">
        <w:r>
          <w:rPr>
            <w:color w:val="285B9D"/>
            <w:u w:val="single"/>
            <w:rFonts w:eastAsia="Heiti TC" w:ascii="Calibri" w:hAnsi="Calibri"/>
          </w:rPr>
          <w:t>宏观通胀传导 今日 219 条、近七日 1308 条，风险信号 932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3-web-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3-web-chai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3-web-ris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3-web-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变压器与液冷供应链对 AI 基础设施的约束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60.6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工作日期：2026-05-23。本报告对前序“AI capex 正在遭遇物理部署约束”的判断作压力测试，并给出更窄的结论：变压器、变电站设备及相关电网硬件，很可能是继电力可得性之后的第二个硬物理约束...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reports/archive-f158c8e7e23e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前序研究 · 房地产视角反驳：真正的瓶颈是土地，不是变压器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59.4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根主题：AI算力物理瓶颈——从GPU算力到电力变压器与电网并网瓶颈的转移 - 分析师：房地产分析师（一二级土地市场、土地拍卖、政策、REITs） - 立场： deny（反驳） ——挑战"变压器/电网并网才...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8">
        <w:r>
          <w:rPr>
            <w:color w:val="285B9D"/>
            <w:u w:val="single"/>
            <w:rFonts w:eastAsia="Heiti TC" w:ascii="Calibri" w:hAnsi="Calibri"/>
          </w:rPr>
          <w:t>reports/archive-d2491bcecc68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电力设备与电网侧容量缺口对算力扩建的物理约束研究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54.7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工作日期：2026-05-23（Asia/Singapore） - 研究记录 - 分析师：能源行业分析师（energy-analyst） - 立场：stress-test（压力测试 prior research notes的"电力设备超配 30%"配置结论） - 上游...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reports/archive-3e4d481a5a47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变压器及电力设备产业链：全球产能弹性、毛利率水平与出海竞争格局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54.6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变压器及电力设备产业链：全球产能弹性、毛利率水平与出海竞争格局 发布日期：2026-05-23 行业板块：工业制造 / 电力设备与新能源 分析师：工业制造分析师 (industrials-analyst)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reports/archive-c48f4f6ca286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能源压力测试：油价110美元/桶以上下的AI数据中心电力成本与供给瓶颈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49.7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工作日期（亚洲/新加坡）： 2026-05-23 - 分析师：能源行业分析师（ energy-analyst ） - 立场： stress-test （对prior research notes"AI硬件久期陷阱"假设的能源端压力测试） - 上游链路：pr...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reports/archive-da38f73bc37a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电力供应成本与 AI 算力扩张的长期约束：能源价格波动与电网压力对 TCO 的影响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49.3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电力供应成本与 AI 算力扩张的长期约束：能源价格波动与电网压力对 TCO 的影响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reports/archive-3e07951577a9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变压器与液冷供应链对 AI 基础设施的约束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reports/archive-f158c8e7e23e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前序研究 · 房地产视角反驳：真正的瓶颈是土地，不是变压器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8">
        <w:r>
          <w:rPr>
            <w:color w:val="285B9D"/>
            <w:u w:val="single"/>
            <w:rFonts w:eastAsia="Heiti TC" w:ascii="Calibri" w:hAnsi="Calibri"/>
          </w:rPr>
          <w:t>reports/archive-d2491bcecc68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工业制造分析师报告 - 2026-05-19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reports/archive-095f02714610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变压器与液冷供应链对 AI 基础设施的约束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60.6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· 房地产视角反驳：真正的瓶颈是土地，不是变压器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电力设备与电网侧容量缺口对算力扩建的物理约束研究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变压器及电力设备产业链：全球产能弹性、毛利率水平与出海竞争格局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能源压力测试：油价110美元/桶以上下的AI数据中心电力成本与供给瓶颈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电力供应成本与 AI 算力扩张的长期约束：能源价格波动与电网压力对 TCO 的影响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能源税与供应链重构对半导体及 AI 硬件资本开支的影响测试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工业机械订单与技术瓶颈验证（2026-05-23）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— 2026-05-23 — 公用事业视角：电网基础设施、变压器/GIS交期与AI算力成本传导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全球电力稀缺交易主线：A股最终配置蓝图（工作日：2026-05-23）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AI数据中心、SMR与电网成本分摊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AI算力扩张与能源基础设施瓶颈压力测试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AI电力瓶颈下的配置：做多半导体，持有电网，折价云利润率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验证A股AI硬件链（HBM/CoWoS）的订单可见度与交期变化，以评估久期压缩压力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算力扩张引发的电力与能源供应约束分析 (Support)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合同型核电与受监管公用事业的风险平价再定价（2026-05-23）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notes: AI智能制造升级与合规溯源的CAPEX双重奏——晶苑国际(2232.HK)与维珍妮(219...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芯片能效演进 vs. 电力配套基础设施刚性约束 (2026-05-23)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f158c8e7e23e" TargetMode="External"/><Relationship Id="rId13" Type="http://schemas.openxmlformats.org/officeDocument/2006/relationships/hyperlink" Target="reports/archive-5c79f2b67b54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reports/archive-d2491bcecc68" TargetMode="External"/><Relationship Id="rId19" Type="http://schemas.openxmlformats.org/officeDocument/2006/relationships/hyperlink" Target="reports/archive-3e4d481a5a47" TargetMode="External"/><Relationship Id="rId20" Type="http://schemas.openxmlformats.org/officeDocument/2006/relationships/hyperlink" Target="reports/archive-c48f4f6ca286" TargetMode="External"/><Relationship Id="rId21" Type="http://schemas.openxmlformats.org/officeDocument/2006/relationships/hyperlink" Target="reports/archive-da38f73bc37a" TargetMode="External"/><Relationship Id="rId22" Type="http://schemas.openxmlformats.org/officeDocument/2006/relationships/hyperlink" Target="reports/archive-3e07951577a9" TargetMode="External"/><Relationship Id="rId23" Type="http://schemas.openxmlformats.org/officeDocument/2006/relationships/hyperlink" Target="reports/archive-095f027146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2026-05-23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