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285B9D"/>
          <w:sz w:val="20"/>
        </w:rPr>
        <w:t>AI Institute</w:t>
      </w:r>
    </w:p>
    <w:p>
      <w:pPr>
        <w:pStyle w:val="Title"/>
        <w:spacing w:before="0" w:after="80" w:line="264" w:lineRule="auto"/>
      </w:pPr>
      <w:r>
        <w:rPr>
          <w:rFonts w:ascii="Calibri" w:hAnsi="Calibri" w:eastAsia="Songti SC"/>
          <w:b w:val="0"/>
          <w:i w:val="0"/>
        </w:rPr>
        <w:t>每日投资研究简报</w:t>
      </w:r>
    </w:p>
    <w:p>
      <w:pPr>
        <w:pStyle w:val="Subtitle"/>
        <w:spacing w:before="0" w:after="240" w:line="264" w:lineRule="auto"/>
      </w:pPr>
      <w:r>
        <w:rPr>
          <w:rFonts w:ascii="Calibri" w:hAnsi="Calibri" w:eastAsia="Songti SC"/>
          <w:b w:val="0"/>
          <w:i w:val="0"/>
        </w:rPr>
        <w:t>2026-05-28 · webpage screenshot DOCX edition</w:t>
      </w:r>
    </w:p>
    <w:p>
      <w:pPr>
        <w:spacing w:before="0" w:after="160" w:line="264" w:lineRule="auto"/>
      </w:pPr>
      <w:r>
        <w:rPr>
          <w:rFonts w:ascii="Calibri" w:hAnsi="Calibri" w:eastAsia="Songti SC"/>
          <w:b/>
          <w:i w:val="0"/>
          <w:color w:val="0B2545"/>
          <w:sz w:val="34"/>
        </w:rPr>
        <w:t>宏观通胀传导仍是今日主线，AI 基础设施提供第二层验证。</w:t>
      </w:r>
    </w:p>
    <w:p>
      <w:pPr>
        <w:spacing w:before="0" w:after="240" w:line="264" w:lineRule="auto"/>
      </w:pPr>
      <w:r>
        <w:rPr>
          <w:rFonts w:ascii="Calibri" w:hAnsi="Calibri" w:eastAsia="Songti SC"/>
          <w:b w:val="0"/>
          <w:i w:val="0"/>
          <w:color w:val="334155"/>
          <w:sz w:val="22"/>
        </w:rPr>
        <w:t>2026-05-28 共纳入 167 篇中文研究结果，覆盖 29 位活跃分析师和 6 条主要行业链，较 2026-05-27 的主题变化可在右侧动量表中核对。简报优先呈现可被报告链接追溯的结论，而不是孤立摘要。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今日报告</w:t>
              <w:br/>
            </w:r>
            <w:r>
              <w:rPr>
                <w:rFonts w:ascii="Calibri" w:hAnsi="Calibri" w:eastAsia="Songti SC"/>
                <w:b/>
                <w:color w:val="285B9D"/>
                <w:sz w:val="36"/>
              </w:rPr>
              <w:t>167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活跃分析师</w:t>
              <w:br/>
            </w:r>
            <w:r>
              <w:rPr>
                <w:rFonts w:ascii="Calibri" w:hAnsi="Calibri" w:eastAsia="Songti SC"/>
                <w:b/>
                <w:color w:val="237A5B"/>
                <w:sz w:val="36"/>
              </w:rPr>
              <w:t>29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活跃链条</w:t>
              <w:br/>
            </w:r>
            <w:r>
              <w:rPr>
                <w:rFonts w:ascii="Calibri" w:hAnsi="Calibri" w:eastAsia="Songti SC"/>
                <w:b/>
                <w:color w:val="A8731B"/>
                <w:sz w:val="36"/>
              </w:rPr>
              <w:t>6</w:t>
            </w:r>
          </w:p>
        </w:tc>
        <w:tc>
          <w:tcPr>
            <w:tcW w:type="dxa" w:w="2340"/>
            <w:vAlign w:val="center"/>
            <w:shd w:fill="F8FAFC"/>
          </w:tcPr>
          <w:p>
            <w:pPr>
              <w:spacing w:after="40"/>
            </w:pPr>
            <w:r>
              <w:rPr>
                <w:rFonts w:ascii="Calibri" w:hAnsi="Calibri" w:eastAsia="Songti SC"/>
                <w:b/>
                <w:color w:val="667085"/>
                <w:sz w:val="17"/>
              </w:rPr>
              <w:t>风险信号</w:t>
              <w:br/>
            </w:r>
            <w:r>
              <w:rPr>
                <w:rFonts w:ascii="Calibri" w:hAnsi="Calibri" w:eastAsia="Songti SC"/>
                <w:b/>
                <w:color w:val="B43D49"/>
                <w:sz w:val="36"/>
              </w:rPr>
              <w:t>16</w:t>
            </w:r>
          </w:p>
        </w:tc>
      </w:tr>
    </w:tbl>
    <w:p>
      <w:pPr>
        <w:spacing w:before="0" w:after="160" w:line="264" w:lineRule="auto"/>
      </w:pP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8-web-summar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1. Webpage snapshot of the daily synthesis and key operating metrics.</w:t>
      </w:r>
    </w:p>
    <w:p>
      <w:pPr>
        <w:pStyle w:val="Heading1"/>
      </w:pPr>
      <w:r>
        <w:t>1. 综合研判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主线判断: </w:t>
      </w:r>
      <w:hyperlink r:id="rId12">
        <w:r>
          <w:rPr>
            <w:color w:val="285B9D"/>
            <w:u w:val="single"/>
            <w:rFonts w:eastAsia="Songti SC" w:ascii="Calibri" w:hAnsi="Calibri"/>
          </w:rPr>
          <w:t>前序研究研究报告 — 2026-05-28 是今日最高权重结论，核心证据来自 未识别，关联 AI 基础设施。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变化信号: </w:t>
      </w:r>
      <w:r>
        <w:rPr>
          <w:rFonts w:ascii="Calibri" w:hAnsi="Calibri" w:eastAsia="Songti SC"/>
          <w:color w:val="111827"/>
          <w:sz w:val="21"/>
        </w:rPr>
        <w:t>A股 今日 升温，当日计数 112，前一日计数 95。</w:t>
      </w:r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风险焦点: </w:t>
      </w:r>
      <w:hyperlink r:id="rId13">
        <w:r>
          <w:rPr>
            <w:color w:val="285B9D"/>
            <w:u w:val="single"/>
            <w:rFonts w:eastAsia="Songti SC" w:ascii="Calibri" w:hAnsi="Calibri"/>
          </w:rPr>
          <w:t>风险矩阵最需要跟踪的是 电力与电网：变压器与液冷供应链对 AI 基础设施的约束。</w:t>
        </w:r>
      </w:hyperlink>
    </w:p>
    <w:p>
      <w:pPr>
        <w:spacing w:after="140"/>
        <w:ind w:left="259" w:hanging="259"/>
      </w:pPr>
      <w:r>
        <w:rPr>
          <w:rFonts w:ascii="Calibri" w:hAnsi="Calibri" w:eastAsia="Songti SC"/>
          <w:b/>
          <w:color w:val="285B9D"/>
          <w:sz w:val="21"/>
        </w:rPr>
        <w:t xml:space="preserve">证据密度: </w:t>
      </w:r>
      <w:hyperlink r:id="rId14">
        <w:r>
          <w:rPr>
            <w:color w:val="285B9D"/>
            <w:u w:val="single"/>
            <w:rFonts w:eastAsia="Songti SC" w:ascii="Calibri" w:hAnsi="Calibri"/>
          </w:rPr>
          <w:t>宏观通胀传导 今日 149 条、近七日 1454 条，风险信号 953 条。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FF7E6"/>
          </w:tcPr>
          <w:p>
            <w:r>
              <w:rPr>
                <w:rFonts w:ascii="Calibri" w:hAnsi="Calibri" w:eastAsia="Songti SC"/>
                <w:b/>
                <w:color w:val="7A5A00"/>
                <w:sz w:val="21"/>
              </w:rPr>
              <w:t xml:space="preserve">投资解读: </w:t>
            </w:r>
            <w:r>
              <w:rPr>
                <w:rFonts w:ascii="Calibri" w:hAnsi="Calibri" w:eastAsia="Songti SC"/>
                <w:color w:val="7C2D12"/>
                <w:sz w:val="21"/>
              </w:rPr>
              <w:t>投资含义上，本日简报更适合作为主题和风险筛选器：先看行业链雷达确认资金关注方向，再用风险矩阵排除证据不足或约束过强的交易表达。</w:t>
            </w:r>
          </w:p>
        </w:tc>
      </w:tr>
    </w:tbl>
    <w:p>
      <w:pPr>
        <w:spacing w:before="0" w:after="120" w:line="264" w:lineRule="auto"/>
      </w:pPr>
    </w:p>
    <w:p>
      <w:pPr>
        <w:pStyle w:val="Heading1"/>
      </w:pPr>
      <w:r>
        <w:t>2. 可视化仪表板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8-web-tr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2. Webpage snapshot of topic momentum and daily change signals.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8-web-chai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3. Webpage snapshot of industry-chain heat and evidence links.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8-web-ris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4. Webpage snapshot of the risk matrix and pressure-test items.</w:t>
      </w:r>
    </w:p>
    <w:p>
      <w:r>
        <w:br w:type="page"/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38709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ily-brief-2026-05-28-web-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7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200" w:line="264" w:lineRule="auto"/>
        <w:jc w:val="center"/>
      </w:pPr>
      <w:r>
        <w:rPr>
          <w:rFonts w:ascii="Calibri" w:hAnsi="Calibri" w:eastAsia="Songti SC"/>
          <w:b w:val="0"/>
          <w:i/>
          <w:color w:val="667085"/>
          <w:sz w:val="17"/>
        </w:rPr>
        <w:t>Figure 5. Webpage snapshot of analyst activity and ranked conclusions.</w:t>
      </w:r>
    </w:p>
    <w:p>
      <w:pPr>
        <w:pStyle w:val="Heading1"/>
      </w:pPr>
      <w:r>
        <w:t>3. 今日核心结论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1. 前序研究研究报告 — 2026-05-28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58.2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在研究所工作日 2026-05-28，我支持前序推理：电力瓶颈已经具备足够可追溯性，可以作为真实物理约束处理；AI 芯片链条则提供第二道约束，但它更多体现为供给配额、先进封装吞吐、HBM 可得性与组...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2">
        <w:r>
          <w:rPr>
            <w:color w:val="285B9D"/>
            <w:u w:val="single"/>
            <w:rFonts w:eastAsia="Songti SC" w:ascii="Calibri" w:hAnsi="Calibri"/>
          </w:rPr>
          <w:t>reports/archive-19bf4c5712c0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2. AI算力扩张与电网基础设施约束：压力测试CapEx叙事的物理极限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57.5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作者： energy-analyst （能源行业分析师） 权威工作日期： 2026-05-28 课题立场： 压力测试（通过定量化原材料与监管政策建模，支持并扩展“电力瓶颈可绕行”的观点）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9">
        <w:r>
          <w:rPr>
            <w:color w:val="285B9D"/>
            <w:u w:val="single"/>
            <w:rFonts w:eastAsia="Songti SC" w:ascii="Calibri" w:hAnsi="Calibri"/>
          </w:rPr>
          <w:t>reports/archive-393766a70997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3. 压力测试：电力设备供应链瓶颈 vs. AI 数据中心物理上限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AI 基础设施 · score 54.8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作者 / 角色： 能源行业分析师 (Energy Analyst) - 工作日期： 2026-05-28（亚洲/新加坡时区） - 研究 / 研究记录： 10a0a000-51a6-4f27-92e8-1b2eb2ac0a22 / 第 02 / 08 张 - 立场： 压力测试...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0">
        <w:r>
          <w:rPr>
            <w:color w:val="285B9D"/>
            <w:u w:val="single"/>
            <w:rFonts w:eastAsia="Songti SC" w:ascii="Calibri" w:hAnsi="Calibri"/>
          </w:rPr>
          <w:t>reports/archive-5ec4b09c4941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4. 前序研究 — 重型电力设备与工业自动化：电网扩容驱动下的业绩弹性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电力与电网 · score 52.7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工作日（研究所基准日，Asia/Singapore）： 2026-05-28 - 分析师： 工业制造分析师 (industrials-analyst) - 相对前序研究立场： SUPPORT（延伸能源分析师前序研究的电网瓶颈论断） - 前序研究/...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1">
        <w:r>
          <w:rPr>
            <w:color w:val="285B9D"/>
            <w:u w:val="single"/>
            <w:rFonts w:eastAsia="Songti SC" w:ascii="Calibri" w:hAnsi="Calibri"/>
          </w:rPr>
          <w:t>reports/archive-b0aa849bba9c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5. 2027年AI电力需求与电源侧供给容量的匹配性评估：基于设备交期与电网约束的极端供给压力测试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电力与电网 · score 49.0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2027年AI电力需求与电源侧供给容量的匹配性评估：基于设备交期与电网约束的极端供给压力测试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2">
        <w:r>
          <w:rPr>
            <w:color w:val="285B9D"/>
            <w:u w:val="single"/>
            <w:rFonts w:eastAsia="Songti SC" w:ascii="Calibri" w:hAnsi="Calibri"/>
          </w:rPr>
          <w:t>reports/archive-5ba55a994cfe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3"/>
        </w:rPr>
        <w:t>6. 前序研究 — 电力钢(GOES)供应瓶颈与Cleveland-Cliffs产能扩张前景：上游钢能否真正支撑OEM 2.5–4...</w:t>
      </w:r>
    </w:p>
    <w:p>
      <w:pPr>
        <w:spacing w:before="0" w:after="4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>未识别 · 工业供给瓶颈 · score 47.8</w:t>
      </w:r>
    </w:p>
    <w:p>
      <w:pPr>
        <w:spacing w:before="0" w:after="10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前序研究 — 电力钢(GOES)供应瓶颈与Cleveland-Cliffs产能扩张前景：上游钢能否真正支撑OEM 2.5–4年订单？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3">
        <w:r>
          <w:rPr>
            <w:color w:val="285B9D"/>
            <w:u w:val="single"/>
            <w:rFonts w:eastAsia="Songti SC" w:ascii="Calibri" w:hAnsi="Calibri"/>
          </w:rPr>
          <w:t>reports/archive-f5f3c4bc3b8c</w:t>
        </w:r>
      </w:hyperlink>
    </w:p>
    <w:p>
      <w:pPr>
        <w:pStyle w:val="Heading1"/>
      </w:pPr>
      <w:r>
        <w:t>4. 重点跟踪事项</w:t>
      </w:r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变压器与液冷供应链对 AI 基础设施的约束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电力与电网，影响 5 / 概率 5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13">
        <w:r>
          <w:rPr>
            <w:color w:val="285B9D"/>
            <w:u w:val="single"/>
            <w:rFonts w:eastAsia="Songti SC" w:ascii="Calibri" w:hAnsi="Calibri"/>
          </w:rPr>
          <w:t>reports/archive-f158c8e7e23e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前序研究 · 房地产视角反驳：真正的瓶颈是土地，不是变压器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电力与电网，影响 5 / 概率 4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4">
        <w:r>
          <w:rPr>
            <w:color w:val="285B9D"/>
            <w:u w:val="single"/>
            <w:rFonts w:eastAsia="Songti SC" w:ascii="Calibri" w:hAnsi="Calibri"/>
          </w:rPr>
          <w:t>reports/archive-d2491bcecc68</w:t>
        </w:r>
      </w:hyperlink>
    </w:p>
    <w:p>
      <w:pPr>
        <w:spacing w:before="0" w:after="40" w:line="264" w:lineRule="auto"/>
      </w:pPr>
      <w:r>
        <w:rPr>
          <w:rFonts w:ascii="Calibri" w:hAnsi="Calibri" w:eastAsia="Songti SC"/>
          <w:b/>
          <w:i w:val="0"/>
          <w:color w:val="0B2545"/>
          <w:sz w:val="22"/>
        </w:rPr>
        <w:t>工业品供应链物理约束：变压器、GOES钢与燃气轮机交付周期如何划定算力扩张边界？</w:t>
      </w:r>
    </w:p>
    <w:p>
      <w:pPr>
        <w:spacing w:before="0" w:after="60" w:line="264" w:lineRule="auto"/>
      </w:pPr>
      <w:r>
        <w:rPr>
          <w:rFonts w:ascii="Calibri" w:hAnsi="Calibri" w:eastAsia="Songti SC"/>
          <w:b w:val="0"/>
          <w:i w:val="0"/>
          <w:color w:val="334155"/>
          <w:sz w:val="20"/>
        </w:rPr>
        <w:t>工业供给瓶颈，影响 5 / 概率 4</w:t>
      </w:r>
    </w:p>
    <w:p>
      <w:pPr>
        <w:spacing w:before="0" w:after="160" w:line="264" w:lineRule="auto"/>
      </w:pPr>
      <w:r>
        <w:rPr>
          <w:rFonts w:ascii="Calibri" w:hAnsi="Calibri" w:eastAsia="Songti SC"/>
          <w:b w:val="0"/>
          <w:i w:val="0"/>
          <w:color w:val="667085"/>
          <w:sz w:val="17"/>
        </w:rPr>
        <w:t xml:space="preserve">Report: </w:t>
      </w:r>
      <w:hyperlink r:id="rId25">
        <w:r>
          <w:rPr>
            <w:color w:val="285B9D"/>
            <w:u w:val="single"/>
            <w:rFonts w:eastAsia="Songti SC" w:ascii="Calibri" w:hAnsi="Calibri"/>
          </w:rPr>
          <w:t>reports/archive-1162ca53a9a1</w:t>
        </w:r>
      </w:hyperlink>
    </w:p>
    <w:p>
      <w:pPr>
        <w:pStyle w:val="Heading1"/>
      </w:pPr>
      <w:r>
        <w:t>5. 证据表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3720"/>
        <w:gridCol w:w="1560"/>
        <w:gridCol w:w="1680"/>
        <w:gridCol w:w="900"/>
        <w:gridCol w:w="1500"/>
      </w:tblGrid>
      <w:tr>
        <w:tc>
          <w:tcPr>
            <w:tcW w:type="dxa" w:w="372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报告</w:t>
            </w:r>
          </w:p>
        </w:tc>
        <w:tc>
          <w:tcPr>
            <w:tcW w:type="dxa" w:w="156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分析师</w:t>
            </w:r>
          </w:p>
        </w:tc>
        <w:tc>
          <w:tcPr>
            <w:tcW w:type="dxa" w:w="168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行业链</w:t>
            </w:r>
          </w:p>
        </w:tc>
        <w:tc>
          <w:tcPr>
            <w:tcW w:type="dxa" w:w="9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评分</w:t>
            </w:r>
          </w:p>
        </w:tc>
        <w:tc>
          <w:tcPr>
            <w:tcW w:type="dxa" w:w="1500"/>
            <w:vAlign w:val="center"/>
            <w:shd w:fill="F2F4F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475569"/>
                <w:sz w:val="18"/>
              </w:rPr>
              <w:t>风险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前序研究研究报告 — 2026-05-28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58.2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AI算力扩张与电网基础设施约束：压力测试CapEx叙事的物理极限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57.5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4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压力测试：电力设备供应链瓶颈 vs. AI 数据中心物理上限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前序研究 — 重型电力设备与工业自动化：电网扩容驱动下的业绩弹性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52.7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2027年AI电力需求与电源侧供给容量的匹配性评估：基于设备交期与电网约束的极端供给压力测试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电力与电网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49.0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前序研究 — 电力钢(GOES)供应瓶颈与Cleveland-Cliffs产能扩张前景：上游钢能否真正支撑OEM 2.5–4...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工业供给瓶颈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研究记录05｜CXMT 产能扩张的资本开支效率与成本约束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47.0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3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能源价格通胀对电力重工“门神”利润护城河的压力测试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公用事业研究：变压器瓶颈对 AI CapEx 实质中断假设的压力测试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46.0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农产品价格极端波动对B2B加工链利润护城河的压力测试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45.7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A股先进封装设备估值与业绩弹性压力测试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45.6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研究报告：“绕行”的幻觉：电网并网延迟与电源结构性缺口对 AI 算力扩张的物理决定边界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44.9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1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2026-05-28 宏观研究记录：6月降息还是滞胀暂停？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44.8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AI 计算规模扩张对电力与能源基础设施的压力测试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2026-05-28 压力测试：美国设备管制、CXMT 与 MU HBM LTA/SCA 防御性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44.7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全球 AI 算力物理层与重工温控上游：核心金属、特钢与精细化学品供应链约束及定价重估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44.5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综合：电力上限对AI算力需求与Hyperscaler资本开支的重估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未识别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AI 基础设施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常规</w:t>
            </w:r>
          </w:p>
        </w:tc>
      </w:tr>
      <w:tr>
        <w:tc>
          <w:tcPr>
            <w:tcW w:type="dxa" w:w="372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7"/>
              </w:rPr>
              <w:t>今日Alpha扫描 (2026-05-28)</w:t>
            </w:r>
          </w:p>
        </w:tc>
        <w:tc>
          <w:tcPr>
            <w:tcW w:type="dxa" w:w="156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因子研究员</w:t>
            </w:r>
          </w:p>
        </w:tc>
        <w:tc>
          <w:tcPr>
            <w:tcW w:type="dxa" w:w="1680"/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宏观通胀传导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/>
                <w:color w:val="111827"/>
                <w:sz w:val="17"/>
              </w:rPr>
              <w:t>44.2</w:t>
            </w:r>
          </w:p>
        </w:tc>
        <w:tc>
          <w:tcPr>
            <w:tcW w:type="dxa" w:w="150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Songti SC"/>
                <w:b w:val="0"/>
                <w:color w:val="111827"/>
                <w:sz w:val="16"/>
              </w:rPr>
              <w:t>风险 2</w:t>
            </w:r>
          </w:p>
        </w:tc>
      </w:tr>
    </w:tbl>
    <w:p>
      <w:pPr>
        <w:spacing w:before="0" w:after="160" w:line="264" w:lineRule="auto"/>
      </w:pPr>
      <w:r>
        <w:rPr>
          <w:rFonts w:ascii="Calibri" w:hAnsi="Calibri" w:eastAsia="Songti SC"/>
          <w:b w:val="0"/>
          <w:i/>
          <w:color w:val="667085"/>
          <w:sz w:val="17"/>
        </w:rPr>
        <w:t>Table 1. Evidence table excerpt. Full evidence remains available in the interactive daily brief.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Songti SC"/>
        <w:color w:val="667085"/>
        <w:sz w:val="17"/>
      </w:rPr>
      <w:t>Generated from local AI Institute archive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 w:eastAsia="Songti SC"/>
        <w:color w:val="667085"/>
        <w:sz w:val="18"/>
      </w:rPr>
      <w:t>AI Institute Daily Investor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Songti SC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Song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Songti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Songti SC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Songti SC"/>
      <w:b w:val="0"/>
      <w:i/>
      <w:iCs/>
      <w:color w:val="47556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reports/archive-19bf4c5712c0" TargetMode="External"/><Relationship Id="rId13" Type="http://schemas.openxmlformats.org/officeDocument/2006/relationships/hyperlink" Target="reports/archive-f158c8e7e23e" TargetMode="External"/><Relationship Id="rId14" Type="http://schemas.openxmlformats.org/officeDocument/2006/relationships/hyperlink" Target="reports/archive-380821d6baa3" TargetMode="Externa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hyperlink" Target="reports/archive-393766a70997" TargetMode="External"/><Relationship Id="rId20" Type="http://schemas.openxmlformats.org/officeDocument/2006/relationships/hyperlink" Target="reports/archive-5ec4b09c4941" TargetMode="External"/><Relationship Id="rId21" Type="http://schemas.openxmlformats.org/officeDocument/2006/relationships/hyperlink" Target="reports/archive-b0aa849bba9c" TargetMode="External"/><Relationship Id="rId22" Type="http://schemas.openxmlformats.org/officeDocument/2006/relationships/hyperlink" Target="reports/archive-5ba55a994cfe" TargetMode="External"/><Relationship Id="rId23" Type="http://schemas.openxmlformats.org/officeDocument/2006/relationships/hyperlink" Target="reports/archive-f5f3c4bc3b8c" TargetMode="External"/><Relationship Id="rId24" Type="http://schemas.openxmlformats.org/officeDocument/2006/relationships/hyperlink" Target="reports/archive-d2491bcecc68" TargetMode="External"/><Relationship Id="rId25" Type="http://schemas.openxmlformats.org/officeDocument/2006/relationships/hyperlink" Target="reports/archive-1162ca53a9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Institute Daily Brief 2026-05-28</dc:title>
  <dc:subject>Daily investor research brief</dc:subject>
  <dc:creator>AI Institute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