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after="360"/>
        <w:jc w:val="center"/>
      </w:pPr>
      <w:r>
        <w:rPr>
          <w:rFonts w:ascii="Calibri" w:hAnsi="Calibri" w:eastAsia="Hiragino Sans GB"/>
          <w:b/>
          <w:color w:val="D85B16"/>
          <w:sz w:val="18"/>
        </w:rPr>
        <w:t>AI INSTITUTE · WEEKLY RESEARCH</w:t>
      </w:r>
    </w:p>
    <w:p>
      <w:pPr>
        <w:spacing w:after="160"/>
        <w:jc w:val="center"/>
      </w:pPr>
      <w:r>
        <w:rPr>
          <w:rFonts w:ascii="Calibri" w:hAnsi="Calibri" w:eastAsia="Hiragino Sans GB"/>
          <w:b/>
          <w:color w:val="111111"/>
          <w:sz w:val="60"/>
        </w:rPr>
        <w:t>AI Institute 周度研究报告</w:t>
      </w:r>
    </w:p>
    <w:p>
      <w:pPr>
        <w:spacing w:after="480"/>
        <w:jc w:val="center"/>
      </w:pPr>
      <w:r>
        <w:rPr>
          <w:rFonts w:ascii="Calibri" w:hAnsi="Calibri" w:eastAsia="Hiragino Sans GB"/>
          <w:b/>
          <w:color w:val="5E6268"/>
          <w:sz w:val="28"/>
        </w:rPr>
        <w:t>2026-W29｜削减单一算力与地缘贝塔，保留电力链和A股杠铃的条件性敞口</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2340"/>
        <w:gridCol w:w="2340"/>
        <w:gridCol w:w="2340"/>
        <w:gridCol w:w="2340"/>
      </w:tblGrid>
      <w:tr>
        <w:trPr>
          <w:cantSplit/>
        </w:trPr>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WEEK</w:t>
            </w:r>
          </w:p>
          <w:p>
            <w:pPr>
              <w:spacing w:after="0"/>
              <w:jc w:val="center"/>
            </w:pPr>
            <w:r>
              <w:rPr>
                <w:rFonts w:ascii="Calibri" w:hAnsi="Calibri" w:eastAsia="Hiragino Sans GB"/>
                <w:b/>
                <w:color w:val="111111"/>
                <w:sz w:val="19"/>
              </w:rPr>
              <w:t>2026-W29</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WINDOW</w:t>
            </w:r>
          </w:p>
          <w:p>
            <w:pPr>
              <w:spacing w:after="0"/>
              <w:jc w:val="center"/>
            </w:pPr>
            <w:r>
              <w:rPr>
                <w:rFonts w:ascii="Calibri" w:hAnsi="Calibri" w:eastAsia="Hiragino Sans GB"/>
                <w:b/>
                <w:color w:val="111111"/>
                <w:sz w:val="19"/>
              </w:rPr>
              <w:t>2026-07-10 → 2026-07-16</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EDITION</w:t>
            </w:r>
          </w:p>
          <w:p>
            <w:pPr>
              <w:spacing w:after="0"/>
              <w:jc w:val="center"/>
            </w:pPr>
            <w:r>
              <w:rPr>
                <w:rFonts w:ascii="Calibri" w:hAnsi="Calibri" w:eastAsia="Hiragino Sans GB"/>
                <w:b/>
                <w:color w:val="111111"/>
                <w:sz w:val="19"/>
              </w:rPr>
              <w:t>rolling · REV 5</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QUALITY</w:t>
            </w:r>
          </w:p>
          <w:p>
            <w:pPr>
              <w:spacing w:after="0"/>
              <w:jc w:val="center"/>
            </w:pPr>
            <w:r>
              <w:rPr>
                <w:rFonts w:ascii="Calibri" w:hAnsi="Calibri" w:eastAsia="Hiragino Sans GB"/>
                <w:b/>
                <w:color w:val="111111"/>
                <w:sz w:val="19"/>
              </w:rPr>
              <w:t>pass_with_warnings · 67</w:t>
            </w:r>
          </w:p>
        </w:tc>
      </w:tr>
    </w:tbl>
    <w:p>
      <w:pPr>
        <w:spacing w:after="80"/>
      </w:pP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360"/>
      </w:tblGrid>
      <w:tr>
        <w:trPr>
          <w:cantSplit/>
        </w:trPr>
        <w:tc>
          <w:tcPr>
            <w:tcW w:type="dxa" w:w="9360"/>
            <w:tcMar>
              <w:top w:w="80" w:type="dxa"/>
              <w:bottom w:w="80" w:type="dxa"/>
              <w:start w:w="120" w:type="dxa"/>
              <w:end w:w="120" w:type="dxa"/>
            </w:tcMar>
            <w:vAlign w:val="top"/>
            <w:shd w:fill="F8F9FA"/>
          </w:tcPr>
          <w:p>
            <w:pPr>
              <w:spacing w:before="80" w:after="80"/>
            </w:pPr>
            <w:r>
              <w:rPr>
                <w:rFonts w:ascii="Calibri" w:hAnsi="Calibri" w:eastAsia="Hiragino Sans GB"/>
                <w:b/>
                <w:color w:val="D85B16"/>
                <w:sz w:val="17"/>
              </w:rPr>
              <w:t>一句话结论</w:t>
              <w:br/>
            </w:r>
            <w:r>
              <w:rPr>
                <w:rFonts w:ascii="Calibri" w:hAnsi="Calibri" w:eastAsia="Hiragino Sans GB"/>
                <w:b/>
                <w:color w:val="111111"/>
                <w:sz w:val="24"/>
              </w:rPr>
              <w:t>本周决策是两项 TRIM、五项 HOLD：AI 与能源需求逻辑尚未被推翻，但串行供给瓶颈、实际利率和去杠杆风险要求先压缩单一算力及地缘贝塔，再用订单、利润率和资金共振决定是否恢复风险预算。</w:t>
            </w:r>
          </w:p>
        </w:tc>
      </w:tr>
    </w:tbl>
    <w:p>
      <w:pPr>
        <w:spacing w:before="320" w:after="0"/>
        <w:jc w:val="center"/>
      </w:pPr>
      <w:hyperlink r:id="rId11">
        <w:r>
          <w:rPr>
            <w:color w:val="1D5FD1"/>
            <w:u w:val="single"/>
            <w:sz w:val="18"/>
            <w:szCs w:val="18"/>
            <w:rFonts w:ascii="Calibri" w:hAnsi="Calibri" w:eastAsia="Hiragino Sans GB"/>
          </w:rPr>
          <w:t>打开受保护的在线周报</w:t>
        </w:r>
      </w:hyperlink>
    </w:p>
    <w:p>
      <w:r>
        <w:br w:type="page"/>
      </w:r>
    </w:p>
    <w:p>
      <w:pPr>
        <w:pStyle w:val="SectionLabel"/>
      </w:pPr>
      <w:r>
        <w:rPr>
          <w:rFonts w:ascii="Calibri" w:hAnsi="Calibri" w:eastAsia="Hiragino Sans GB"/>
          <w:b/>
          <w:color w:val="1D5FD1"/>
          <w:sz w:val="17"/>
        </w:rPr>
        <w:t>DECISION FIRST</w:t>
      </w:r>
    </w:p>
    <w:p>
      <w:pPr>
        <w:pStyle w:val="Heading1"/>
      </w:pPr>
      <w:r>
        <w:t>1. 执行摘要</w:t>
      </w:r>
    </w:p>
    <w:p>
      <w:pPr>
        <w:keepLines w:val="0"/>
      </w:pPr>
      <w:r>
        <w:rPr>
          <w:rFonts w:ascii="Calibri" w:hAnsi="Calibri" w:eastAsia="Hiragino Sans GB"/>
          <w:b w:val="0"/>
          <w:color w:val="111111"/>
          <w:sz w:val="22"/>
        </w:rPr>
        <w:t>决策先于叙事：AI 算力半导体与油气/地缘通胀降至 TRIM，其余五条主线维持 HOLD。AI 支出仍在扩散，但收益归属已从单一加速器转向存储产品结构、定制芯片、电力设备和云平台；与此同时，HBM良率、先进封装、通电时点和融资成本构成串行约束，因此强需求并不自动等于全链条盈利兑现。A股红利/硬科技杠铃仍具相对吸引力，但硬科技腿必须等待订单与融资、ETF申赎等交易结构共同确认，不能把研究覆盖增加当成资金已经流入。服务消费尚未从客流逻辑稳定跨越到利润率修复，油气也尚未证明地缘溢价能够持续转化为上游资本开支和油服现金流。本期没有前周可比数据，因而 whatChanged 是既有主张与本周证据的基线对照，不代表周环比评级变化；证据包亦未提供可用市场报价，以下不陈述最新价格、涨跌幅或已发生的资金流。</w:t>
      </w:r>
    </w:p>
    <w:p>
      <w:pPr>
        <w:keepLines/>
      </w:pPr>
      <w:r>
        <w:rPr>
          <w:rFonts w:ascii="Calibri" w:hAnsi="Calibri" w:eastAsia="Hiragino Sans GB"/>
          <w:b w:val="0"/>
          <w:color w:val="5E6268"/>
          <w:sz w:val="22"/>
        </w:rPr>
        <w:t>本周真正的变化不是AI、能源或A股主题突然失效，而是配置门槛从“需求存在”提高到“订单、交付、利润率、现金流和交易结构共同确认”。在没有前周对照和可用市场报价的情况下，本期只建立决策基线，不判断最新价格或资金方向；优先削减无法穿透供给瓶颈和折现率风险的贝塔，保留可被经营数据证实的结构性机会。以上为研究综合，不构成投资建议，不承诺收益。</w:t>
      </w:r>
    </w:p>
    <w:p>
      <w:pPr>
        <w:pStyle w:val="Heading1"/>
      </w:pPr>
      <w:r>
        <w:t>2. 本周操作结论</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850"/>
        <w:gridCol w:w="2050"/>
        <w:gridCol w:w="4200"/>
        <w:gridCol w:w="2260"/>
      </w:tblGrid>
      <w:tr>
        <w:trPr>
          <w:cantSplit/>
          <w:tblHeader w:val="true"/>
        </w:trPr>
        <w:tc>
          <w:tcPr>
            <w:tcW w:type="dxa" w:w="8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ACTION</w:t>
            </w:r>
          </w:p>
        </w:tc>
        <w:tc>
          <w:tcPr>
            <w:tcW w:type="dxa" w:w="20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TARGET</w:t>
            </w:r>
          </w:p>
        </w:tc>
        <w:tc>
          <w:tcPr>
            <w:tcW w:type="dxa" w:w="42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DRIVER / CONFIRMATION</w:t>
            </w:r>
          </w:p>
        </w:tc>
        <w:tc>
          <w:tcPr>
            <w:tcW w:type="dxa" w:w="22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INVALIDATION</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C92A2A"/>
                <w:sz w:val="17"/>
              </w:rPr>
              <w:t>TRIM</w:t>
            </w:r>
          </w:p>
        </w:tc>
        <w:tc>
          <w:tcPr>
            <w:tcW w:type="dxa" w:w="2050"/>
            <w:tcMar>
              <w:top w:w="80" w:type="dxa"/>
              <w:bottom w:w="80" w:type="dxa"/>
              <w:start w:w="120" w:type="dxa"/>
              <w:end w:w="120" w:type="dxa"/>
            </w:tcMar>
            <w:vAlign w:val="top"/>
          </w:tcPr>
          <w:p>
            <w:pPr>
              <w:spacing w:after="40"/>
            </w:pPr>
            <w:hyperlink r:id="rId12">
              <w:r>
                <w:rPr>
                  <w:color w:val="1D5FD1"/>
                  <w:u w:val="single"/>
                  <w:b/>
                  <w:sz w:val="17"/>
                  <w:szCs w:val="17"/>
                  <w:rFonts w:ascii="Calibri" w:hAnsi="Calibri" w:eastAsia="Hiragino Sans GB"/>
                </w:rPr>
                <w:t>AI 算力半导体</w:t>
              </w:r>
            </w:hyperlink>
            <w:r>
              <w:rPr>
                <w:rFonts w:ascii="Calibri" w:hAnsi="Calibri" w:eastAsia="Hiragino Sans GB"/>
                <w:color w:val="5E6268"/>
                <w:sz w:val="15"/>
              </w:rPr>
              <w:br/>
              <w:t>lane · 2026-07-16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AI算力需求仍强，但收益正在从单一加速器向存储、定制芯片和云平台扩散；配置应侧重订单、产品结构和自由现金流，控制估值集中风险。 风险雷达：降权跟踪：适合作为风险雷达，不适合作为无条件加仓理由。 确认：CPI/PCE 与油价是否重新推高实际利率</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C92A2A"/>
                <w:sz w:val="17"/>
              </w:rPr>
              <w:t>TRIM</w:t>
            </w:r>
          </w:p>
        </w:tc>
        <w:tc>
          <w:tcPr>
            <w:tcW w:type="dxa" w:w="2050"/>
            <w:tcMar>
              <w:top w:w="80" w:type="dxa"/>
              <w:bottom w:w="80" w:type="dxa"/>
              <w:start w:w="120" w:type="dxa"/>
              <w:end w:w="120" w:type="dxa"/>
            </w:tcMar>
            <w:vAlign w:val="top"/>
          </w:tcPr>
          <w:p>
            <w:pPr>
              <w:spacing w:after="40"/>
            </w:pPr>
            <w:hyperlink r:id="rId13">
              <w:r>
                <w:rPr>
                  <w:color w:val="1D5FD1"/>
                  <w:u w:val="single"/>
                  <w:b/>
                  <w:sz w:val="17"/>
                  <w:szCs w:val="17"/>
                  <w:rFonts w:ascii="Calibri" w:hAnsi="Calibri" w:eastAsia="Hiragino Sans GB"/>
                </w:rPr>
                <w:t>油气/地缘通胀</w:t>
              </w:r>
            </w:hyperlink>
            <w:r>
              <w:rPr>
                <w:rFonts w:ascii="Calibri" w:hAnsi="Calibri" w:eastAsia="Hiragino Sans GB"/>
                <w:color w:val="5E6268"/>
                <w:sz w:val="15"/>
              </w:rPr>
              <w:br/>
              <w:t>lane · 2026-07-15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地缘风险提供油价尾部，但持续收益取决于库存、资本纪律和上游现金流，而非单日冲击。 风险雷达：降权跟踪：适合作为风险雷达，不适合作为无条件加仓理由。 确认：油价和金属缺口是否从成本冲击变成需求破坏</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4">
              <w:r>
                <w:rPr>
                  <w:color w:val="1D5FD1"/>
                  <w:u w:val="single"/>
                  <w:b/>
                  <w:sz w:val="17"/>
                  <w:szCs w:val="17"/>
                  <w:rFonts w:ascii="Calibri" w:hAnsi="Calibri" w:eastAsia="Hiragino Sans GB"/>
                </w:rPr>
                <w:t>A股红利/硬科技杠铃</w:t>
              </w:r>
            </w:hyperlink>
            <w:r>
              <w:rPr>
                <w:rFonts w:ascii="Calibri" w:hAnsi="Calibri" w:eastAsia="Hiragino Sans GB"/>
                <w:color w:val="5E6268"/>
                <w:sz w:val="15"/>
              </w:rPr>
              <w:br/>
              <w:t>lane · 2026-07-16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确认：融资余额、ETF 申赎和北向资金是否同向</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支持证据停止更新，价格或资金面先于基本面走弱。</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5">
              <w:r>
                <w:rPr>
                  <w:color w:val="1D5FD1"/>
                  <w:u w:val="single"/>
                  <w:b/>
                  <w:sz w:val="17"/>
                  <w:szCs w:val="17"/>
                  <w:rFonts w:ascii="Calibri" w:hAnsi="Calibri" w:eastAsia="Hiragino Sans GB"/>
                </w:rPr>
                <w:t>酒店餐饮休闲/服务消费</w:t>
              </w:r>
            </w:hyperlink>
            <w:r>
              <w:rPr>
                <w:rFonts w:ascii="Calibri" w:hAnsi="Calibri" w:eastAsia="Hiragino Sans GB"/>
                <w:color w:val="5E6268"/>
                <w:sz w:val="15"/>
              </w:rPr>
              <w:br/>
              <w:t>lane · 2026-07-16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分歧主线：配对验证：这是有投资含义但证据分歧很高的主线，更适合配对验证、分批试错和严格证伪。 确认：价格弹性是否转化为利润率修复</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6">
              <w:r>
                <w:rPr>
                  <w:color w:val="1D5FD1"/>
                  <w:u w:val="single"/>
                  <w:b/>
                  <w:sz w:val="17"/>
                  <w:szCs w:val="17"/>
                  <w:rFonts w:ascii="Calibri" w:hAnsi="Calibri" w:eastAsia="Hiragino Sans GB"/>
                </w:rPr>
                <w:t>AI 再通胀/利率敏感资产</w:t>
              </w:r>
            </w:hyperlink>
            <w:r>
              <w:rPr>
                <w:rFonts w:ascii="Calibri" w:hAnsi="Calibri" w:eastAsia="Hiragino Sans GB"/>
                <w:color w:val="5E6268"/>
                <w:sz w:val="15"/>
              </w:rPr>
              <w:br/>
              <w:t>lane · 2026-07-16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确认：CPI/PCE 与油价是否重新推高实际利率</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7">
              <w:r>
                <w:rPr>
                  <w:color w:val="1D5FD1"/>
                  <w:u w:val="single"/>
                  <w:b/>
                  <w:sz w:val="17"/>
                  <w:szCs w:val="17"/>
                  <w:rFonts w:ascii="Calibri" w:hAnsi="Calibri" w:eastAsia="Hiragino Sans GB"/>
                </w:rPr>
                <w:t>Mag7 AI 平台再分层</w:t>
              </w:r>
            </w:hyperlink>
            <w:r>
              <w:rPr>
                <w:rFonts w:ascii="Calibri" w:hAnsi="Calibri" w:eastAsia="Hiragino Sans GB"/>
                <w:color w:val="5E6268"/>
                <w:sz w:val="15"/>
              </w:rPr>
              <w:br/>
              <w:t>lane · 2026-07-16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确认：云厂商 capex 指引是否继续上修</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8">
              <w:r>
                <w:rPr>
                  <w:color w:val="1D5FD1"/>
                  <w:u w:val="single"/>
                  <w:b/>
                  <w:sz w:val="17"/>
                  <w:szCs w:val="17"/>
                  <w:rFonts w:ascii="Calibri" w:hAnsi="Calibri" w:eastAsia="Hiragino Sans GB"/>
                </w:rPr>
                <w:t>A股硬科技/科创50</w:t>
              </w:r>
            </w:hyperlink>
            <w:r>
              <w:rPr>
                <w:rFonts w:ascii="Calibri" w:hAnsi="Calibri" w:eastAsia="Hiragino Sans GB"/>
                <w:color w:val="5E6268"/>
                <w:sz w:val="15"/>
              </w:rPr>
              <w:br/>
              <w:t>lane · 2026-07-16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确认：融资余额、ETF 申赎和北向资金是否同向</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bl>
    <w:p>
      <w:pPr>
        <w:pStyle w:val="TableCitation"/>
      </w:pPr>
      <w:r>
        <w:t>基于公开研究合约的研究台操作视图，不构成投资建议；完整客观命中率与真实组合交易需要独立 Panorama App/组合账本读取。</w:t>
      </w:r>
    </w:p>
    <w:p>
      <w:pPr>
        <w:pStyle w:val="Heading1"/>
      </w:pPr>
      <w:r>
        <w:t>3. 决策解释：从证据到组合</w:t>
      </w:r>
    </w:p>
    <w:p>
      <w:pPr>
        <w:pStyle w:val="Heading2"/>
        <w:keepNext/>
      </w:pPr>
      <w:r>
        <w:t>01 · TRIM｜AI 算力半导体：削减单一算力贝塔，不否定需求</w:t>
      </w:r>
    </w:p>
    <w:p>
      <w:pPr>
        <w:keepLines/>
      </w:pPr>
      <w:r>
        <w:rPr>
          <w:rFonts w:ascii="Calibri" w:hAnsi="Calibri" w:eastAsia="Hiragino Sans GB"/>
          <w:b w:val="0"/>
          <w:color w:val="111111"/>
          <w:sz w:val="22"/>
        </w:rPr>
        <w:t>支持证据仍指向AI及企业存储需求，但新增研究把盈利兑现条件收紧到NAND价格与产品结构、HBM良率、先进封装和实际通电能力。需求扩散意味着产业机会变宽，却也削弱了集中持有单一加速器链的必要性；风险集中度上升是本次减仓的核心解释，而不是对AI需求作方向性否定。</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压缩纯加速器和高拥挤硬件敞口；保留订单、产品结构及自由现金流能够验证的存储、定制芯片和电力配套观察仓。未出现云资本开支、交付与盈利质量共同确认前，不把研究热度当作加仓依据。</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19">
        <w:r>
          <w:rPr>
            <w:color w:val="1D5FD1"/>
            <w:u w:val="single"/>
            <w:sz w:val="17"/>
            <w:szCs w:val="17"/>
            <w:rFonts w:ascii="Calibri" w:hAnsi="Calibri" w:eastAsia="Hiragino Sans GB"/>
          </w:rPr>
          <w:t>R1</w:t>
        </w:r>
      </w:hyperlink>
      <w:r>
        <w:t xml:space="preserve"> · </w:t>
      </w:r>
      <w:hyperlink r:id="rId20">
        <w:r>
          <w:rPr>
            <w:color w:val="1D5FD1"/>
            <w:u w:val="single"/>
            <w:sz w:val="17"/>
            <w:szCs w:val="17"/>
            <w:rFonts w:ascii="Calibri" w:hAnsi="Calibri" w:eastAsia="Hiragino Sans GB"/>
          </w:rPr>
          <w:t>R2</w:t>
        </w:r>
      </w:hyperlink>
      <w:r>
        <w:t xml:space="preserve"> · </w:t>
      </w:r>
      <w:hyperlink r:id="rId21">
        <w:r>
          <w:rPr>
            <w:color w:val="1D5FD1"/>
            <w:u w:val="single"/>
            <w:sz w:val="17"/>
            <w:szCs w:val="17"/>
            <w:rFonts w:ascii="Calibri" w:hAnsi="Calibri" w:eastAsia="Hiragino Sans GB"/>
          </w:rPr>
          <w:t>R3</w:t>
        </w:r>
      </w:hyperlink>
      <w:r>
        <w:t xml:space="preserve"> · </w:t>
      </w:r>
      <w:hyperlink r:id="rId22">
        <w:r>
          <w:rPr>
            <w:color w:val="1D5FD1"/>
            <w:u w:val="single"/>
            <w:sz w:val="17"/>
            <w:szCs w:val="17"/>
            <w:rFonts w:ascii="Calibri" w:hAnsi="Calibri" w:eastAsia="Hiragino Sans GB"/>
          </w:rPr>
          <w:t>对应 Thesis</w:t>
        </w:r>
      </w:hyperlink>
    </w:p>
    <w:p>
      <w:pPr>
        <w:pStyle w:val="Heading2"/>
        <w:keepNext/>
      </w:pPr>
      <w:r>
        <w:t>02 · TRIM｜油气/地缘通胀：尾部风险仍在，盈利传导尚未闭环</w:t>
      </w:r>
    </w:p>
    <w:p>
      <w:pPr>
        <w:keepLines/>
      </w:pPr>
      <w:r>
        <w:rPr>
          <w:rFonts w:ascii="Calibri" w:hAnsi="Calibri" w:eastAsia="Hiragino Sans GB"/>
          <w:b w:val="0"/>
          <w:color w:val="111111"/>
          <w:sz w:val="22"/>
        </w:rPr>
        <w:t>AIDC燃气需求和宏观再通胀研究支持能源需求尾部，但油服盈利仍须经过客户资本开支、平台利用率、日费率和技术服务占比兑现。单日地缘冲击无法替代库存、资本纪律与现金流验证，因此现阶段更适合保留风险雷达，而非维持方向性高敞口。</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降低以地缘溢价为主要依据的油气贝塔，优先观察资本开支和设备利用率能够验证的环节；若只有成本冲击而没有上游预算与现金流改善，继续控制仓位。</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23">
        <w:r>
          <w:rPr>
            <w:color w:val="1D5FD1"/>
            <w:u w:val="single"/>
            <w:sz w:val="17"/>
            <w:szCs w:val="17"/>
            <w:rFonts w:ascii="Calibri" w:hAnsi="Calibri" w:eastAsia="Hiragino Sans GB"/>
          </w:rPr>
          <w:t>R1</w:t>
        </w:r>
      </w:hyperlink>
      <w:r>
        <w:t xml:space="preserve"> · </w:t>
      </w:r>
      <w:hyperlink r:id="rId24">
        <w:r>
          <w:rPr>
            <w:color w:val="1D5FD1"/>
            <w:u w:val="single"/>
            <w:sz w:val="17"/>
            <w:szCs w:val="17"/>
            <w:rFonts w:ascii="Calibri" w:hAnsi="Calibri" w:eastAsia="Hiragino Sans GB"/>
          </w:rPr>
          <w:t>R2</w:t>
        </w:r>
      </w:hyperlink>
      <w:r>
        <w:t xml:space="preserve"> · </w:t>
      </w:r>
      <w:hyperlink r:id="rId25">
        <w:r>
          <w:rPr>
            <w:color w:val="1D5FD1"/>
            <w:u w:val="single"/>
            <w:sz w:val="17"/>
            <w:szCs w:val="17"/>
            <w:rFonts w:ascii="Calibri" w:hAnsi="Calibri" w:eastAsia="Hiragino Sans GB"/>
          </w:rPr>
          <w:t>对应 Thesis</w:t>
        </w:r>
      </w:hyperlink>
    </w:p>
    <w:p>
      <w:pPr>
        <w:pStyle w:val="Heading2"/>
        <w:keepNext/>
      </w:pPr>
      <w:r>
        <w:t>03 · HOLD｜A股红利/硬科技杠铃：保留结构，不抢跑科技腿</w:t>
      </w:r>
    </w:p>
    <w:p>
      <w:pPr>
        <w:keepLines/>
      </w:pPr>
      <w:r>
        <w:rPr>
          <w:rFonts w:ascii="Calibri" w:hAnsi="Calibri" w:eastAsia="Hiragino Sans GB"/>
          <w:b w:val="0"/>
          <w:color w:val="111111"/>
          <w:sz w:val="22"/>
        </w:rPr>
        <w:t>红利资产仍提供现金流与波动缓冲，硬科技则保留订单验证后的上行弹性；但情绪压力测试和半导体交易结构研究均提示，政策托底、研究密度或单一融资指标不足以证明风险偏好已经形成稳定共振。</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维持红利底仓与硬科技观察仓的杠铃结构。只有订单证据与融资余额、ETF申赎及北向资金出现同向确认，才提高硬科技腿；确认前不因主题热度扩大风险预算。</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支持证据停止更新，价格或资金面先于基本面走弱。</w:t>
            </w:r>
          </w:p>
        </w:tc>
      </w:tr>
    </w:tbl>
    <w:p>
      <w:pPr>
        <w:pStyle w:val="TableCitation"/>
      </w:pPr>
      <w:r>
        <w:t>证据：</w:t>
      </w:r>
      <w:hyperlink r:id="rId26">
        <w:r>
          <w:rPr>
            <w:color w:val="1D5FD1"/>
            <w:u w:val="single"/>
            <w:sz w:val="17"/>
            <w:szCs w:val="17"/>
            <w:rFonts w:ascii="Calibri" w:hAnsi="Calibri" w:eastAsia="Hiragino Sans GB"/>
          </w:rPr>
          <w:t>R1</w:t>
        </w:r>
      </w:hyperlink>
      <w:r>
        <w:t xml:space="preserve"> · </w:t>
      </w:r>
      <w:hyperlink r:id="rId27">
        <w:r>
          <w:rPr>
            <w:color w:val="1D5FD1"/>
            <w:u w:val="single"/>
            <w:sz w:val="17"/>
            <w:szCs w:val="17"/>
            <w:rFonts w:ascii="Calibri" w:hAnsi="Calibri" w:eastAsia="Hiragino Sans GB"/>
          </w:rPr>
          <w:t>R2</w:t>
        </w:r>
      </w:hyperlink>
      <w:r>
        <w:t xml:space="preserve"> · </w:t>
      </w:r>
      <w:hyperlink r:id="rId28">
        <w:r>
          <w:rPr>
            <w:color w:val="1D5FD1"/>
            <w:u w:val="single"/>
            <w:sz w:val="17"/>
            <w:szCs w:val="17"/>
            <w:rFonts w:ascii="Calibri" w:hAnsi="Calibri" w:eastAsia="Hiragino Sans GB"/>
          </w:rPr>
          <w:t>R3</w:t>
        </w:r>
      </w:hyperlink>
      <w:r>
        <w:t xml:space="preserve"> · </w:t>
      </w:r>
      <w:hyperlink r:id="rId29">
        <w:r>
          <w:rPr>
            <w:color w:val="1D5FD1"/>
            <w:u w:val="single"/>
            <w:sz w:val="17"/>
            <w:szCs w:val="17"/>
            <w:rFonts w:ascii="Calibri" w:hAnsi="Calibri" w:eastAsia="Hiragino Sans GB"/>
          </w:rPr>
          <w:t>对应 Thesis</w:t>
        </w:r>
      </w:hyperlink>
    </w:p>
    <w:p>
      <w:pPr>
        <w:pStyle w:val="Heading2"/>
        <w:keepNext/>
      </w:pPr>
      <w:r>
        <w:t>04 · HOLD｜酒店餐饮休闲/服务消费：从客流叙事转向利润率验收</w:t>
      </w:r>
    </w:p>
    <w:p>
      <w:pPr>
        <w:keepLines/>
      </w:pPr>
      <w:r>
        <w:rPr>
          <w:rFonts w:ascii="Calibri" w:hAnsi="Calibri" w:eastAsia="Hiragino Sans GB"/>
          <w:b w:val="0"/>
          <w:color w:val="111111"/>
          <w:sz w:val="22"/>
        </w:rPr>
        <w:t>既有主张强调RevPAR、翻台率与小盘Alpha，本周研究则显示消费贝塔仍需降权，支持与压力测试没有形成广谱复苏共识。真正缺失的不是关注度，而是价格弹性向同店收入、利润率和现金流转化的连续证据。</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保持配对验证和小规模试错：优先跟踪经营效率与成本控制可验证的标的，同时回避仅依赖客流恢复的高运营杠杆敞口。利润率未改善前不扩大行业贝塔。</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30">
        <w:r>
          <w:rPr>
            <w:color w:val="1D5FD1"/>
            <w:u w:val="single"/>
            <w:sz w:val="17"/>
            <w:szCs w:val="17"/>
            <w:rFonts w:ascii="Calibri" w:hAnsi="Calibri" w:eastAsia="Hiragino Sans GB"/>
          </w:rPr>
          <w:t>R1</w:t>
        </w:r>
      </w:hyperlink>
      <w:r>
        <w:t xml:space="preserve"> · </w:t>
      </w:r>
      <w:hyperlink r:id="rId31">
        <w:r>
          <w:rPr>
            <w:color w:val="1D5FD1"/>
            <w:u w:val="single"/>
            <w:sz w:val="17"/>
            <w:szCs w:val="17"/>
            <w:rFonts w:ascii="Calibri" w:hAnsi="Calibri" w:eastAsia="Hiragino Sans GB"/>
          </w:rPr>
          <w:t>R2</w:t>
        </w:r>
      </w:hyperlink>
      <w:r>
        <w:t xml:space="preserve"> · </w:t>
      </w:r>
      <w:hyperlink r:id="rId32">
        <w:r>
          <w:rPr>
            <w:color w:val="1D5FD1"/>
            <w:u w:val="single"/>
            <w:sz w:val="17"/>
            <w:szCs w:val="17"/>
            <w:rFonts w:ascii="Calibri" w:hAnsi="Calibri" w:eastAsia="Hiragino Sans GB"/>
          </w:rPr>
          <w:t>R3</w:t>
        </w:r>
      </w:hyperlink>
      <w:r>
        <w:t xml:space="preserve"> · </w:t>
      </w:r>
      <w:hyperlink r:id="rId33">
        <w:r>
          <w:rPr>
            <w:color w:val="1D5FD1"/>
            <w:u w:val="single"/>
            <w:sz w:val="17"/>
            <w:szCs w:val="17"/>
            <w:rFonts w:ascii="Calibri" w:hAnsi="Calibri" w:eastAsia="Hiragino Sans GB"/>
          </w:rPr>
          <w:t>对应 Thesis</w:t>
        </w:r>
      </w:hyperlink>
    </w:p>
    <w:p>
      <w:pPr>
        <w:pStyle w:val="Heading2"/>
        <w:keepNext/>
      </w:pPr>
      <w:r>
        <w:t>05 · HOLD｜AI 再通胀/利率敏感资产：物理需求增强，折现率结论未定</w:t>
      </w:r>
    </w:p>
    <w:p>
      <w:pPr>
        <w:keepLines/>
      </w:pPr>
      <w:r>
        <w:rPr>
          <w:rFonts w:ascii="Calibri" w:hAnsi="Calibri" w:eastAsia="Hiragino Sans GB"/>
          <w:b w:val="0"/>
          <w:color w:val="111111"/>
          <w:sz w:val="22"/>
        </w:rPr>
        <w:t>AI资本开支向电力、设备和燃料传导的证据继续增加，但核心PCE、能源价格和实际利率可能产生相反的资产影响：设备需求受益不等于长久期资产同步受益。由于通胀路径与实际利率结果尚未闭合，当前只能观察等待。</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把电网设备、受监管公用事业、能源现金流与长久期资产分开管理。再通胀确认时偏向可传导成本的现金流资产并压缩久期；通胀降温且实际利率回落时，再评估恢复久期敞口。</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34">
        <w:r>
          <w:rPr>
            <w:color w:val="1D5FD1"/>
            <w:u w:val="single"/>
            <w:sz w:val="17"/>
            <w:szCs w:val="17"/>
            <w:rFonts w:ascii="Calibri" w:hAnsi="Calibri" w:eastAsia="Hiragino Sans GB"/>
          </w:rPr>
          <w:t>R1</w:t>
        </w:r>
      </w:hyperlink>
      <w:r>
        <w:t xml:space="preserve"> · </w:t>
      </w:r>
      <w:hyperlink r:id="rId35">
        <w:r>
          <w:rPr>
            <w:color w:val="1D5FD1"/>
            <w:u w:val="single"/>
            <w:sz w:val="17"/>
            <w:szCs w:val="17"/>
            <w:rFonts w:ascii="Calibri" w:hAnsi="Calibri" w:eastAsia="Hiragino Sans GB"/>
          </w:rPr>
          <w:t>R2</w:t>
        </w:r>
      </w:hyperlink>
      <w:r>
        <w:t xml:space="preserve"> · </w:t>
      </w:r>
      <w:hyperlink r:id="rId36">
        <w:r>
          <w:rPr>
            <w:color w:val="1D5FD1"/>
            <w:u w:val="single"/>
            <w:sz w:val="17"/>
            <w:szCs w:val="17"/>
            <w:rFonts w:ascii="Calibri" w:hAnsi="Calibri" w:eastAsia="Hiragino Sans GB"/>
          </w:rPr>
          <w:t>R3</w:t>
        </w:r>
      </w:hyperlink>
      <w:r>
        <w:t xml:space="preserve"> · </w:t>
      </w:r>
      <w:hyperlink r:id="rId37">
        <w:r>
          <w:rPr>
            <w:color w:val="1D5FD1"/>
            <w:u w:val="single"/>
            <w:sz w:val="17"/>
            <w:szCs w:val="17"/>
            <w:rFonts w:ascii="Calibri" w:hAnsi="Calibri" w:eastAsia="Hiragino Sans GB"/>
          </w:rPr>
          <w:t>对应 Thesis</w:t>
        </w:r>
      </w:hyperlink>
    </w:p>
    <w:p>
      <w:pPr>
        <w:pStyle w:val="Heading2"/>
        <w:keepNext/>
      </w:pPr>
      <w:r>
        <w:t>06 · HOLD｜Mag7 AI 平台再分层：基础设施受益与预算挤压并存</w:t>
      </w:r>
    </w:p>
    <w:p>
      <w:pPr>
        <w:keepLines/>
      </w:pPr>
      <w:r>
        <w:rPr>
          <w:rFonts w:ascii="Calibri" w:hAnsi="Calibri" w:eastAsia="Hiragino Sans GB"/>
          <w:b w:val="0"/>
          <w:color w:val="111111"/>
          <w:sz w:val="22"/>
        </w:rPr>
        <w:t>AI资本开支继续强化云与基础设施平台的重要性，但软件预算挤压、融资条件和供应链约束意味着Mag7不会因同一主题同步受益。平台再分层方向得到支持，胜负排序却仍缺少云资本开支、变现效率和自由现金流的联合确认。</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不以Mag7整体作为无差别AI代理；按云基础设施承载能力、模型分发入口、资本强度和现金流逐一筛选。等待云厂商资本开支指引及收入转化验证后再调整观察仓。</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19">
        <w:r>
          <w:rPr>
            <w:color w:val="1D5FD1"/>
            <w:u w:val="single"/>
            <w:sz w:val="17"/>
            <w:szCs w:val="17"/>
            <w:rFonts w:ascii="Calibri" w:hAnsi="Calibri" w:eastAsia="Hiragino Sans GB"/>
          </w:rPr>
          <w:t>R1</w:t>
        </w:r>
      </w:hyperlink>
      <w:r>
        <w:t xml:space="preserve"> · </w:t>
      </w:r>
      <w:hyperlink r:id="rId38">
        <w:r>
          <w:rPr>
            <w:color w:val="1D5FD1"/>
            <w:u w:val="single"/>
            <w:sz w:val="17"/>
            <w:szCs w:val="17"/>
            <w:rFonts w:ascii="Calibri" w:hAnsi="Calibri" w:eastAsia="Hiragino Sans GB"/>
          </w:rPr>
          <w:t>R2</w:t>
        </w:r>
      </w:hyperlink>
      <w:r>
        <w:t xml:space="preserve"> · </w:t>
      </w:r>
      <w:hyperlink r:id="rId39">
        <w:r>
          <w:rPr>
            <w:color w:val="1D5FD1"/>
            <w:u w:val="single"/>
            <w:sz w:val="17"/>
            <w:szCs w:val="17"/>
            <w:rFonts w:ascii="Calibri" w:hAnsi="Calibri" w:eastAsia="Hiragino Sans GB"/>
          </w:rPr>
          <w:t>R3</w:t>
        </w:r>
      </w:hyperlink>
      <w:r>
        <w:t xml:space="preserve"> · </w:t>
      </w:r>
      <w:hyperlink r:id="rId40">
        <w:r>
          <w:rPr>
            <w:color w:val="1D5FD1"/>
            <w:u w:val="single"/>
            <w:sz w:val="17"/>
            <w:szCs w:val="17"/>
            <w:rFonts w:ascii="Calibri" w:hAnsi="Calibri" w:eastAsia="Hiragino Sans GB"/>
          </w:rPr>
          <w:t>对应 Thesis</w:t>
        </w:r>
      </w:hyperlink>
    </w:p>
    <w:p>
      <w:pPr>
        <w:pStyle w:val="Heading2"/>
        <w:keepNext/>
      </w:pPr>
      <w:r>
        <w:t>07 · HOLD｜A股硬科技/科创50：订单改善不能替代三重共振</w:t>
      </w:r>
    </w:p>
    <w:p>
      <w:pPr>
        <w:keepLines/>
      </w:pPr>
      <w:r>
        <w:rPr>
          <w:rFonts w:ascii="Calibri" w:hAnsi="Calibri" w:eastAsia="Hiragino Sans GB"/>
          <w:b w:val="0"/>
          <w:color w:val="111111"/>
          <w:sz w:val="22"/>
        </w:rPr>
        <w:t>部分半导体环节存在订单和中报验证线索，但国产HBM材料良率、先进制程成本与交易拥挤仍约束指数级扩张。既有主张要求订单、融资盘和指数结构共振，本周新证据尚不足以放宽这一门槛。</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继续置于观察池，优先研究订单可核验、现金流质量较高的细分环节；在资金结构未确认前，避免用指数仓替代个股筛选，也不把政策托底等同于估值底部已经成立。</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20">
        <w:r>
          <w:rPr>
            <w:color w:val="1D5FD1"/>
            <w:u w:val="single"/>
            <w:sz w:val="17"/>
            <w:szCs w:val="17"/>
            <w:rFonts w:ascii="Calibri" w:hAnsi="Calibri" w:eastAsia="Hiragino Sans GB"/>
          </w:rPr>
          <w:t>R1</w:t>
        </w:r>
      </w:hyperlink>
      <w:r>
        <w:t xml:space="preserve"> · </w:t>
      </w:r>
      <w:hyperlink r:id="rId41">
        <w:r>
          <w:rPr>
            <w:color w:val="1D5FD1"/>
            <w:u w:val="single"/>
            <w:sz w:val="17"/>
            <w:szCs w:val="17"/>
            <w:rFonts w:ascii="Calibri" w:hAnsi="Calibri" w:eastAsia="Hiragino Sans GB"/>
          </w:rPr>
          <w:t>R2</w:t>
        </w:r>
      </w:hyperlink>
      <w:r>
        <w:t xml:space="preserve"> · </w:t>
      </w:r>
      <w:hyperlink r:id="rId28">
        <w:r>
          <w:rPr>
            <w:color w:val="1D5FD1"/>
            <w:u w:val="single"/>
            <w:sz w:val="17"/>
            <w:szCs w:val="17"/>
            <w:rFonts w:ascii="Calibri" w:hAnsi="Calibri" w:eastAsia="Hiragino Sans GB"/>
          </w:rPr>
          <w:t>R3</w:t>
        </w:r>
      </w:hyperlink>
      <w:r>
        <w:t xml:space="preserve"> · </w:t>
      </w:r>
      <w:hyperlink r:id="rId42">
        <w:r>
          <w:rPr>
            <w:color w:val="1D5FD1"/>
            <w:u w:val="single"/>
            <w:sz w:val="17"/>
            <w:szCs w:val="17"/>
            <w:rFonts w:ascii="Calibri" w:hAnsi="Calibri" w:eastAsia="Hiragino Sans GB"/>
          </w:rPr>
          <w:t>对应 Thesis</w:t>
        </w:r>
      </w:hyperlink>
    </w:p>
    <w:p>
      <w:pPr>
        <w:pStyle w:val="Heading1"/>
      </w:pPr>
      <w:r>
        <w:t>4. 本周真正改变了什么</w:t>
      </w:r>
    </w:p>
    <w:p>
      <w:pPr>
        <w:keepNext/>
      </w:pPr>
      <w:r>
        <w:rPr>
          <w:rFonts w:ascii="Calibri" w:hAnsi="Calibri" w:eastAsia="Hiragino Sans GB"/>
          <w:b/>
          <w:color w:val="D85B16"/>
          <w:sz w:val="18"/>
        </w:rPr>
        <w:t xml:space="preserve">01  SPLIT  </w:t>
      </w:r>
      <w:r>
        <w:rPr>
          <w:rFonts w:ascii="Calibri" w:hAnsi="Calibri" w:eastAsia="Hiragino Sans GB"/>
          <w:b/>
          <w:color w:val="111111"/>
          <w:sz w:val="22"/>
        </w:rPr>
        <w:t>基线版｜AI算力主张从需求强度转向盈利归属</w:t>
      </w:r>
    </w:p>
    <w:p>
      <w:pPr>
        <w:keepLines w:val="0"/>
      </w:pPr>
      <w:r>
        <w:rPr>
          <w:rFonts w:ascii="Calibri" w:hAnsi="Calibri" w:eastAsia="Hiragino Sans GB"/>
          <w:b w:val="0"/>
          <w:color w:val="111111"/>
          <w:sz w:val="22"/>
        </w:rPr>
        <w:t>既有主张认为NAND盈利弹性主要由价格和产品结构驱动。本周证据没有否定这一点，但把赛道判断进一步收窄：HBM良率、先进封装、供电和融资条件决定需求能否转成收入与自由现金流，收益也正从单一加速器向存储、定制芯片及电力配套扩散。因此主张由“需求强、链条普遍受益”分化为“需求强、盈利高度择股”，这是TRIM而非全面转空的依据。由于没有前周数据，此项是standing thesis与本周证据的基线对照。</w:t>
      </w:r>
    </w:p>
    <w:p>
      <w:pPr>
        <w:pStyle w:val="TableCitation"/>
      </w:pPr>
      <w:r>
        <w:t>关联标的：</w:t>
      </w:r>
      <w:hyperlink r:id="rId43">
        <w:r>
          <w:rPr>
            <w:color w:val="1D5FD1"/>
            <w:u w:val="single"/>
            <w:sz w:val="17"/>
            <w:szCs w:val="17"/>
            <w:rFonts w:ascii="Calibri" w:hAnsi="Calibri" w:eastAsia="Hiragino Sans GB"/>
          </w:rPr>
          <w:t>NVDA</w:t>
        </w:r>
      </w:hyperlink>
      <w:r>
        <w:t xml:space="preserve"> · </w:t>
      </w:r>
      <w:hyperlink r:id="rId44">
        <w:r>
          <w:rPr>
            <w:color w:val="1D5FD1"/>
            <w:u w:val="single"/>
            <w:sz w:val="17"/>
            <w:szCs w:val="17"/>
            <w:rFonts w:ascii="Calibri" w:hAnsi="Calibri" w:eastAsia="Hiragino Sans GB"/>
          </w:rPr>
          <w:t>TSM</w:t>
        </w:r>
      </w:hyperlink>
      <w:r>
        <w:t xml:space="preserve"> · </w:t>
      </w:r>
      <w:hyperlink r:id="rId45">
        <w:r>
          <w:rPr>
            <w:color w:val="1D5FD1"/>
            <w:u w:val="single"/>
            <w:sz w:val="17"/>
            <w:szCs w:val="17"/>
            <w:rFonts w:ascii="Calibri" w:hAnsi="Calibri" w:eastAsia="Hiragino Sans GB"/>
          </w:rPr>
          <w:t>MU</w:t>
        </w:r>
      </w:hyperlink>
      <w:r>
        <w:t xml:space="preserve"> · </w:t>
      </w:r>
      <w:hyperlink r:id="rId46">
        <w:r>
          <w:rPr>
            <w:color w:val="1D5FD1"/>
            <w:u w:val="single"/>
            <w:sz w:val="17"/>
            <w:szCs w:val="17"/>
            <w:rFonts w:ascii="Calibri" w:hAnsi="Calibri" w:eastAsia="Hiragino Sans GB"/>
          </w:rPr>
          <w:t>000660.KS</w:t>
        </w:r>
      </w:hyperlink>
      <w:r>
        <w:t xml:space="preserve"> · </w:t>
      </w:r>
      <w:hyperlink r:id="rId47">
        <w:r>
          <w:rPr>
            <w:color w:val="1D5FD1"/>
            <w:u w:val="single"/>
            <w:sz w:val="17"/>
            <w:szCs w:val="17"/>
            <w:rFonts w:ascii="Calibri" w:hAnsi="Calibri" w:eastAsia="Hiragino Sans GB"/>
          </w:rPr>
          <w:t>AVGO</w:t>
        </w:r>
      </w:hyperlink>
    </w:p>
    <w:p>
      <w:pPr>
        <w:keepNext/>
      </w:pPr>
      <w:r>
        <w:rPr>
          <w:rFonts w:ascii="Calibri" w:hAnsi="Calibri" w:eastAsia="Hiragino Sans GB"/>
          <w:b/>
          <w:color w:val="D85B16"/>
          <w:sz w:val="18"/>
        </w:rPr>
        <w:t xml:space="preserve">02  STRENGTHENED  </w:t>
      </w:r>
      <w:r>
        <w:rPr>
          <w:rFonts w:ascii="Calibri" w:hAnsi="Calibri" w:eastAsia="Hiragino Sans GB"/>
          <w:b/>
          <w:color w:val="111111"/>
          <w:sz w:val="22"/>
        </w:rPr>
        <w:t>基线版｜电力约束成为AI资本开支更具体的物理闸门</w:t>
      </w:r>
    </w:p>
    <w:p>
      <w:pPr>
        <w:keepLines w:val="0"/>
      </w:pPr>
      <w:r>
        <w:rPr>
          <w:rFonts w:ascii="Calibri" w:hAnsi="Calibri" w:eastAsia="Hiragino Sans GB"/>
          <w:b w:val="0"/>
          <w:color w:val="111111"/>
          <w:sz w:val="22"/>
        </w:rPr>
        <w:t>既有主张只说明AI资本开支会经能源、设备和利率进入通胀定价；本周研究把传导链细化到并网、变压器交付、燃气成本和受监管费率。该变化增强了AI电力与电网设备的产业逻辑，却没有自动增强所有公用事业或长久期资产，因为项目延期和实际利率仍可能抵消需求收益。</w:t>
      </w:r>
    </w:p>
    <w:p>
      <w:pPr>
        <w:pStyle w:val="TableCitation"/>
      </w:pPr>
      <w:r>
        <w:t>关联标的：</w:t>
      </w:r>
      <w:hyperlink r:id="rId48">
        <w:r>
          <w:rPr>
            <w:color w:val="1D5FD1"/>
            <w:u w:val="single"/>
            <w:sz w:val="17"/>
            <w:szCs w:val="17"/>
            <w:rFonts w:ascii="Calibri" w:hAnsi="Calibri" w:eastAsia="Hiragino Sans GB"/>
          </w:rPr>
          <w:t>GEV</w:t>
        </w:r>
      </w:hyperlink>
      <w:r>
        <w:t xml:space="preserve"> · </w:t>
      </w:r>
      <w:hyperlink r:id="rId49">
        <w:r>
          <w:rPr>
            <w:color w:val="1D5FD1"/>
            <w:u w:val="single"/>
            <w:sz w:val="17"/>
            <w:szCs w:val="17"/>
            <w:rFonts w:ascii="Calibri" w:hAnsi="Calibri" w:eastAsia="Hiragino Sans GB"/>
          </w:rPr>
          <w:t>ETN</w:t>
        </w:r>
      </w:hyperlink>
      <w:r>
        <w:t xml:space="preserve"> · </w:t>
      </w:r>
      <w:hyperlink r:id="rId50">
        <w:r>
          <w:rPr>
            <w:color w:val="1D5FD1"/>
            <w:u w:val="single"/>
            <w:sz w:val="17"/>
            <w:szCs w:val="17"/>
            <w:rFonts w:ascii="Calibri" w:hAnsi="Calibri" w:eastAsia="Hiragino Sans GB"/>
          </w:rPr>
          <w:t>VST</w:t>
        </w:r>
      </w:hyperlink>
      <w:r>
        <w:t xml:space="preserve"> · </w:t>
      </w:r>
      <w:hyperlink r:id="rId51">
        <w:r>
          <w:rPr>
            <w:color w:val="1D5FD1"/>
            <w:u w:val="single"/>
            <w:sz w:val="17"/>
            <w:szCs w:val="17"/>
            <w:rFonts w:ascii="Calibri" w:hAnsi="Calibri" w:eastAsia="Hiragino Sans GB"/>
          </w:rPr>
          <w:t>CEG</w:t>
        </w:r>
      </w:hyperlink>
      <w:r>
        <w:t xml:space="preserve"> · </w:t>
      </w:r>
      <w:hyperlink r:id="rId52">
        <w:r>
          <w:rPr>
            <w:color w:val="1D5FD1"/>
            <w:u w:val="single"/>
            <w:sz w:val="17"/>
            <w:szCs w:val="17"/>
            <w:rFonts w:ascii="Calibri" w:hAnsi="Calibri" w:eastAsia="Hiragino Sans GB"/>
          </w:rPr>
          <w:t>002028.SZ</w:t>
        </w:r>
      </w:hyperlink>
      <w:r>
        <w:t xml:space="preserve"> · </w:t>
      </w:r>
      <w:hyperlink r:id="rId53">
        <w:r>
          <w:rPr>
            <w:color w:val="1D5FD1"/>
            <w:u w:val="single"/>
            <w:sz w:val="17"/>
            <w:szCs w:val="17"/>
            <w:rFonts w:ascii="Calibri" w:hAnsi="Calibri" w:eastAsia="Hiragino Sans GB"/>
          </w:rPr>
          <w:t>600089.SH</w:t>
        </w:r>
      </w:hyperlink>
    </w:p>
    <w:p>
      <w:pPr>
        <w:keepNext/>
      </w:pPr>
      <w:r>
        <w:rPr>
          <w:rFonts w:ascii="Calibri" w:hAnsi="Calibri" w:eastAsia="Hiragino Sans GB"/>
          <w:b/>
          <w:color w:val="D85B16"/>
          <w:sz w:val="18"/>
        </w:rPr>
        <w:t xml:space="preserve">03  SPLIT  </w:t>
      </w:r>
      <w:r>
        <w:rPr>
          <w:rFonts w:ascii="Calibri" w:hAnsi="Calibri" w:eastAsia="Hiragino Sans GB"/>
          <w:b/>
          <w:color w:val="111111"/>
          <w:sz w:val="22"/>
        </w:rPr>
        <w:t>基线版｜A股杠铃仍成立，但硬科技腿受到反向挑战</w:t>
      </w:r>
    </w:p>
    <w:p>
      <w:pPr>
        <w:keepLines w:val="0"/>
      </w:pPr>
      <w:r>
        <w:rPr>
          <w:rFonts w:ascii="Calibri" w:hAnsi="Calibri" w:eastAsia="Hiragino Sans GB"/>
          <w:b w:val="0"/>
          <w:color w:val="111111"/>
          <w:sz w:val="22"/>
        </w:rPr>
        <w:t>既有主张把红利与硬科技视为政策、利率和风险偏好的组合表达。本周支持证据仍认可杠铃结构，但情绪压力、两融边界和半导体拥挤研究挑战了“政策托底即可推动科技腿”的主导看法：红利防御性与硬科技进攻性不能同时被视为无条件有效，后者仍需订单和资金共振。这是本期对主导观点最明确的反证。</w:t>
      </w:r>
    </w:p>
    <w:p>
      <w:pPr>
        <w:pStyle w:val="TableCitation"/>
      </w:pPr>
      <w:r>
        <w:t>关联标的：</w:t>
      </w:r>
      <w:hyperlink r:id="rId54">
        <w:r>
          <w:rPr>
            <w:color w:val="1D5FD1"/>
            <w:u w:val="single"/>
            <w:sz w:val="17"/>
            <w:szCs w:val="17"/>
            <w:rFonts w:ascii="Calibri" w:hAnsi="Calibri" w:eastAsia="Hiragino Sans GB"/>
          </w:rPr>
          <w:t>600900.SH</w:t>
        </w:r>
      </w:hyperlink>
      <w:r>
        <w:t xml:space="preserve"> · </w:t>
      </w:r>
      <w:hyperlink r:id="rId55">
        <w:r>
          <w:rPr>
            <w:color w:val="1D5FD1"/>
            <w:u w:val="single"/>
            <w:sz w:val="17"/>
            <w:szCs w:val="17"/>
            <w:rFonts w:ascii="Calibri" w:hAnsi="Calibri" w:eastAsia="Hiragino Sans GB"/>
          </w:rPr>
          <w:t>601398.SH</w:t>
        </w:r>
      </w:hyperlink>
      <w:r>
        <w:t xml:space="preserve"> · </w:t>
      </w:r>
      <w:hyperlink r:id="rId56">
        <w:r>
          <w:rPr>
            <w:color w:val="1D5FD1"/>
            <w:u w:val="single"/>
            <w:sz w:val="17"/>
            <w:szCs w:val="17"/>
            <w:rFonts w:ascii="Calibri" w:hAnsi="Calibri" w:eastAsia="Hiragino Sans GB"/>
          </w:rPr>
          <w:t>601088.SH</w:t>
        </w:r>
      </w:hyperlink>
      <w:r>
        <w:t xml:space="preserve"> · </w:t>
      </w:r>
      <w:hyperlink r:id="rId57">
        <w:r>
          <w:rPr>
            <w:color w:val="1D5FD1"/>
            <w:u w:val="single"/>
            <w:sz w:val="17"/>
            <w:szCs w:val="17"/>
            <w:rFonts w:ascii="Calibri" w:hAnsi="Calibri" w:eastAsia="Hiragino Sans GB"/>
          </w:rPr>
          <w:t>588000.SH</w:t>
        </w:r>
      </w:hyperlink>
      <w:r>
        <w:t xml:space="preserve"> · </w:t>
      </w:r>
      <w:hyperlink r:id="rId58">
        <w:r>
          <w:rPr>
            <w:color w:val="1D5FD1"/>
            <w:u w:val="single"/>
            <w:sz w:val="17"/>
            <w:szCs w:val="17"/>
            <w:rFonts w:ascii="Calibri" w:hAnsi="Calibri" w:eastAsia="Hiragino Sans GB"/>
          </w:rPr>
          <w:t>688981.SH</w:t>
        </w:r>
      </w:hyperlink>
      <w:r>
        <w:t xml:space="preserve"> · </w:t>
      </w:r>
      <w:hyperlink r:id="rId59">
        <w:r>
          <w:rPr>
            <w:color w:val="1D5FD1"/>
            <w:u w:val="single"/>
            <w:sz w:val="17"/>
            <w:szCs w:val="17"/>
            <w:rFonts w:ascii="Calibri" w:hAnsi="Calibri" w:eastAsia="Hiragino Sans GB"/>
          </w:rPr>
          <w:t>688256.SH</w:t>
        </w:r>
      </w:hyperlink>
    </w:p>
    <w:p>
      <w:pPr>
        <w:keepNext/>
      </w:pPr>
      <w:r>
        <w:rPr>
          <w:rFonts w:ascii="Calibri" w:hAnsi="Calibri" w:eastAsia="Hiragino Sans GB"/>
          <w:b/>
          <w:color w:val="D85B16"/>
          <w:sz w:val="18"/>
        </w:rPr>
        <w:t xml:space="preserve">04  WEAKENED  </w:t>
      </w:r>
      <w:r>
        <w:rPr>
          <w:rFonts w:ascii="Calibri" w:hAnsi="Calibri" w:eastAsia="Hiragino Sans GB"/>
          <w:b/>
          <w:color w:val="111111"/>
          <w:sz w:val="22"/>
        </w:rPr>
        <w:t>基线版｜服务消费从复苏命题降为利润率验证命题</w:t>
      </w:r>
    </w:p>
    <w:p>
      <w:pPr>
        <w:keepLines w:val="0"/>
      </w:pPr>
      <w:r>
        <w:rPr>
          <w:rFonts w:ascii="Calibri" w:hAnsi="Calibri" w:eastAsia="Hiragino Sans GB"/>
          <w:b w:val="0"/>
          <w:color w:val="111111"/>
          <w:sz w:val="22"/>
        </w:rPr>
        <w:t>既有主张已从客流转向RevPAR、翻台率和小盘Alpha，本周证据进一步削弱广谱消费贝塔：行业调研与仓位专题没有证明价格弹性已经稳定转化为利润率。主题仍有个股价值，但组合表达应从行业扩张转为配对验证。</w:t>
      </w:r>
    </w:p>
    <w:p>
      <w:pPr>
        <w:pStyle w:val="TableCitation"/>
      </w:pPr>
      <w:r>
        <w:t>关联标的：</w:t>
      </w:r>
      <w:hyperlink r:id="rId60">
        <w:r>
          <w:rPr>
            <w:color w:val="1D5FD1"/>
            <w:u w:val="single"/>
            <w:sz w:val="17"/>
            <w:szCs w:val="17"/>
            <w:rFonts w:ascii="Calibri" w:hAnsi="Calibri" w:eastAsia="Hiragino Sans GB"/>
          </w:rPr>
          <w:t>3690.HK</w:t>
        </w:r>
      </w:hyperlink>
      <w:r>
        <w:t xml:space="preserve"> · </w:t>
      </w:r>
      <w:hyperlink r:id="rId61">
        <w:r>
          <w:rPr>
            <w:color w:val="1D5FD1"/>
            <w:u w:val="single"/>
            <w:sz w:val="17"/>
            <w:szCs w:val="17"/>
            <w:rFonts w:ascii="Calibri" w:hAnsi="Calibri" w:eastAsia="Hiragino Sans GB"/>
          </w:rPr>
          <w:t>YUMC</w:t>
        </w:r>
      </w:hyperlink>
      <w:r>
        <w:t xml:space="preserve"> · </w:t>
      </w:r>
      <w:hyperlink r:id="rId62">
        <w:r>
          <w:rPr>
            <w:color w:val="1D5FD1"/>
            <w:u w:val="single"/>
            <w:sz w:val="17"/>
            <w:szCs w:val="17"/>
            <w:rFonts w:ascii="Calibri" w:hAnsi="Calibri" w:eastAsia="Hiragino Sans GB"/>
          </w:rPr>
          <w:t>1179.HK</w:t>
        </w:r>
      </w:hyperlink>
      <w:r>
        <w:t xml:space="preserve"> · </w:t>
      </w:r>
      <w:hyperlink r:id="rId63">
        <w:r>
          <w:rPr>
            <w:color w:val="1D5FD1"/>
            <w:u w:val="single"/>
            <w:sz w:val="17"/>
            <w:szCs w:val="17"/>
            <w:rFonts w:ascii="Calibri" w:hAnsi="Calibri" w:eastAsia="Hiragino Sans GB"/>
          </w:rPr>
          <w:t>600754.SH</w:t>
        </w:r>
      </w:hyperlink>
    </w:p>
    <w:p>
      <w:pPr>
        <w:keepNext/>
      </w:pPr>
      <w:r>
        <w:rPr>
          <w:rFonts w:ascii="Calibri" w:hAnsi="Calibri" w:eastAsia="Hiragino Sans GB"/>
          <w:b/>
          <w:color w:val="D85B16"/>
          <w:sz w:val="18"/>
        </w:rPr>
        <w:t xml:space="preserve">05  SPLIT  </w:t>
      </w:r>
      <w:r>
        <w:rPr>
          <w:rFonts w:ascii="Calibri" w:hAnsi="Calibri" w:eastAsia="Hiragino Sans GB"/>
          <w:b/>
          <w:color w:val="111111"/>
          <w:sz w:val="22"/>
        </w:rPr>
        <w:t>基线版｜能源尾部需求增强，但油服兑现条件没有放宽</w:t>
      </w:r>
    </w:p>
    <w:p>
      <w:pPr>
        <w:keepLines w:val="0"/>
      </w:pPr>
      <w:r>
        <w:rPr>
          <w:rFonts w:ascii="Calibri" w:hAnsi="Calibri" w:eastAsia="Hiragino Sans GB"/>
          <w:b w:val="0"/>
          <w:color w:val="111111"/>
          <w:sz w:val="22"/>
        </w:rPr>
        <w:t>既有主张要求近海资本开支、平台利用率和日费率驱动油服盈利。本周AIDC燃气需求研究为能源需求增加了新来源，但宏观研究同时表明成本冲击、实际利率和需求破坏可能削弱资本开支传导。因此油气逻辑获得需求侧支持，油服盈利判断却仍需现金流与资本纪律确认。</w:t>
      </w:r>
    </w:p>
    <w:p>
      <w:pPr>
        <w:pStyle w:val="TableCitation"/>
      </w:pPr>
      <w:r>
        <w:t>关联标的：</w:t>
      </w:r>
      <w:hyperlink r:id="rId64">
        <w:r>
          <w:rPr>
            <w:color w:val="1D5FD1"/>
            <w:u w:val="single"/>
            <w:sz w:val="17"/>
            <w:szCs w:val="17"/>
            <w:rFonts w:ascii="Calibri" w:hAnsi="Calibri" w:eastAsia="Hiragino Sans GB"/>
          </w:rPr>
          <w:t>0883.HK</w:t>
        </w:r>
      </w:hyperlink>
      <w:r>
        <w:t xml:space="preserve"> · </w:t>
      </w:r>
      <w:hyperlink r:id="rId65">
        <w:r>
          <w:rPr>
            <w:color w:val="1D5FD1"/>
            <w:u w:val="single"/>
            <w:sz w:val="17"/>
            <w:szCs w:val="17"/>
            <w:rFonts w:ascii="Calibri" w:hAnsi="Calibri" w:eastAsia="Hiragino Sans GB"/>
          </w:rPr>
          <w:t>CVX</w:t>
        </w:r>
      </w:hyperlink>
      <w:r>
        <w:t xml:space="preserve"> · </w:t>
      </w:r>
      <w:hyperlink r:id="rId66">
        <w:r>
          <w:rPr>
            <w:color w:val="1D5FD1"/>
            <w:u w:val="single"/>
            <w:sz w:val="17"/>
            <w:szCs w:val="17"/>
            <w:rFonts w:ascii="Calibri" w:hAnsi="Calibri" w:eastAsia="Hiragino Sans GB"/>
          </w:rPr>
          <w:t>XOM</w:t>
        </w:r>
      </w:hyperlink>
      <w:r>
        <w:t xml:space="preserve"> · </w:t>
      </w:r>
      <w:hyperlink r:id="rId67">
        <w:r>
          <w:rPr>
            <w:color w:val="1D5FD1"/>
            <w:u w:val="single"/>
            <w:sz w:val="17"/>
            <w:szCs w:val="17"/>
            <w:rFonts w:ascii="Calibri" w:hAnsi="Calibri" w:eastAsia="Hiragino Sans GB"/>
          </w:rPr>
          <w:t>SLB</w:t>
        </w:r>
      </w:hyperlink>
      <w:r>
        <w:t xml:space="preserve"> · </w:t>
      </w:r>
      <w:hyperlink r:id="rId68">
        <w:r>
          <w:rPr>
            <w:color w:val="1D5FD1"/>
            <w:u w:val="single"/>
            <w:sz w:val="17"/>
            <w:szCs w:val="17"/>
            <w:rFonts w:ascii="Calibri" w:hAnsi="Calibri" w:eastAsia="Hiragino Sans GB"/>
          </w:rPr>
          <w:t>601808.SH</w:t>
        </w:r>
      </w:hyperlink>
    </w:p>
    <w:p>
      <w:pPr>
        <w:keepNext/>
      </w:pPr>
      <w:r>
        <w:rPr>
          <w:rFonts w:ascii="Calibri" w:hAnsi="Calibri" w:eastAsia="Hiragino Sans GB"/>
          <w:b/>
          <w:color w:val="D85B16"/>
          <w:sz w:val="18"/>
        </w:rPr>
        <w:t xml:space="preserve">06  STRENGTHENED  </w:t>
      </w:r>
      <w:r>
        <w:rPr>
          <w:rFonts w:ascii="Calibri" w:hAnsi="Calibri" w:eastAsia="Hiragino Sans GB"/>
          <w:b/>
          <w:color w:val="111111"/>
          <w:sz w:val="22"/>
        </w:rPr>
        <w:t>基线版｜Mag7再分层得到强化，整体代理逻辑转弱</w:t>
      </w:r>
    </w:p>
    <w:p>
      <w:pPr>
        <w:keepLines w:val="0"/>
      </w:pPr>
      <w:r>
        <w:rPr>
          <w:rFonts w:ascii="Calibri" w:hAnsi="Calibri" w:eastAsia="Hiragino Sans GB"/>
          <w:b w:val="0"/>
          <w:color w:val="111111"/>
          <w:sz w:val="22"/>
        </w:rPr>
        <w:t>既有主张认为Mag7会从平台垄断走向基础设施再分层。本周AI产业追踪和软件预算研究强化了这种分化：基础设施承载者可能受益于资本开支，软件和应用预算则可能被挤压；融资链研究又增加了资本成本约束。因此“分层”主张增强，“整篮子共同受益”主张减弱。</w:t>
      </w:r>
    </w:p>
    <w:p>
      <w:pPr>
        <w:pStyle w:val="TableCitation"/>
      </w:pPr>
      <w:r>
        <w:t>关联标的：</w:t>
      </w:r>
      <w:hyperlink r:id="rId69">
        <w:r>
          <w:rPr>
            <w:color w:val="1D5FD1"/>
            <w:u w:val="single"/>
            <w:sz w:val="17"/>
            <w:szCs w:val="17"/>
            <w:rFonts w:ascii="Calibri" w:hAnsi="Calibri" w:eastAsia="Hiragino Sans GB"/>
          </w:rPr>
          <w:t>MSFT</w:t>
        </w:r>
      </w:hyperlink>
      <w:r>
        <w:t xml:space="preserve"> · </w:t>
      </w:r>
      <w:hyperlink r:id="rId70">
        <w:r>
          <w:rPr>
            <w:color w:val="1D5FD1"/>
            <w:u w:val="single"/>
            <w:sz w:val="17"/>
            <w:szCs w:val="17"/>
            <w:rFonts w:ascii="Calibri" w:hAnsi="Calibri" w:eastAsia="Hiragino Sans GB"/>
          </w:rPr>
          <w:t>META</w:t>
        </w:r>
      </w:hyperlink>
      <w:r>
        <w:t xml:space="preserve"> · </w:t>
      </w:r>
      <w:hyperlink r:id="rId71">
        <w:r>
          <w:rPr>
            <w:color w:val="1D5FD1"/>
            <w:u w:val="single"/>
            <w:sz w:val="17"/>
            <w:szCs w:val="17"/>
            <w:rFonts w:ascii="Calibri" w:hAnsi="Calibri" w:eastAsia="Hiragino Sans GB"/>
          </w:rPr>
          <w:t>AMZN</w:t>
        </w:r>
      </w:hyperlink>
      <w:r>
        <w:t xml:space="preserve"> · </w:t>
      </w:r>
      <w:hyperlink r:id="rId72">
        <w:r>
          <w:rPr>
            <w:color w:val="1D5FD1"/>
            <w:u w:val="single"/>
            <w:sz w:val="17"/>
            <w:szCs w:val="17"/>
            <w:rFonts w:ascii="Calibri" w:hAnsi="Calibri" w:eastAsia="Hiragino Sans GB"/>
          </w:rPr>
          <w:t>GOOGL</w:t>
        </w:r>
      </w:hyperlink>
      <w:r>
        <w:t xml:space="preserve"> · </w:t>
      </w:r>
      <w:hyperlink r:id="rId43">
        <w:r>
          <w:rPr>
            <w:color w:val="1D5FD1"/>
            <w:u w:val="single"/>
            <w:sz w:val="17"/>
            <w:szCs w:val="17"/>
            <w:rFonts w:ascii="Calibri" w:hAnsi="Calibri" w:eastAsia="Hiragino Sans GB"/>
          </w:rPr>
          <w:t>NVDA</w:t>
        </w:r>
      </w:hyperlink>
      <w:r>
        <w:t xml:space="preserve"> · </w:t>
      </w:r>
      <w:hyperlink r:id="rId73">
        <w:r>
          <w:rPr>
            <w:color w:val="1D5FD1"/>
            <w:u w:val="single"/>
            <w:sz w:val="17"/>
            <w:szCs w:val="17"/>
            <w:rFonts w:ascii="Calibri" w:hAnsi="Calibri" w:eastAsia="Hiragino Sans GB"/>
          </w:rPr>
          <w:t>AAPL</w:t>
        </w:r>
      </w:hyperlink>
    </w:p>
    <w:p>
      <w:pPr>
        <w:pStyle w:val="Heading1"/>
      </w:pPr>
      <w:r>
        <w:t>5. 赛道配置与下一催化</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600"/>
        <w:gridCol w:w="1250"/>
        <w:gridCol w:w="2300"/>
        <w:gridCol w:w="2550"/>
        <w:gridCol w:w="2660"/>
      </w:tblGrid>
      <w:tr>
        <w:trPr>
          <w:cantSplit/>
          <w:tblHeader w:val="true"/>
        </w:trPr>
        <w:tc>
          <w:tcPr>
            <w:tcW w:type="dxa" w:w="6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RANK</w:t>
            </w:r>
          </w:p>
        </w:tc>
        <w:tc>
          <w:tcPr>
            <w:tcW w:type="dxa" w:w="12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STANCE</w:t>
            </w:r>
          </w:p>
        </w:tc>
        <w:tc>
          <w:tcPr>
            <w:tcW w:type="dxa" w:w="23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LANE</w:t>
            </w:r>
          </w:p>
        </w:tc>
        <w:tc>
          <w:tcPr>
            <w:tcW w:type="dxa" w:w="25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NEXT CATALYST</w:t>
            </w:r>
          </w:p>
        </w:tc>
        <w:tc>
          <w:tcPr>
            <w:tcW w:type="dxa" w:w="26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KEY EXPOSURES</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74">
              <w:r>
                <w:rPr>
                  <w:color w:val="1D5FD1"/>
                  <w:u w:val="single"/>
                  <w:b/>
                  <w:sz w:val="16"/>
                  <w:szCs w:val="16"/>
                  <w:rFonts w:ascii="Calibri" w:hAnsi="Calibri" w:eastAsia="Hiragino Sans GB"/>
                </w:rPr>
                <w:t>人民币/美元流动性敏感资产</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3988.HK · UUP · FXI · 9988.HK · 0700.HK · 000688.SH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2</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75">
              <w:r>
                <w:rPr>
                  <w:color w:val="1D5FD1"/>
                  <w:u w:val="single"/>
                  <w:b/>
                  <w:sz w:val="16"/>
                  <w:szCs w:val="16"/>
                  <w:rFonts w:ascii="Calibri" w:hAnsi="Calibri" w:eastAsia="Hiragino Sans GB"/>
                </w:rPr>
                <w:t>美债利率/美元再定价</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TLT · IEF · JPM · UUP · GLD · CME</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3</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76">
              <w:r>
                <w:rPr>
                  <w:color w:val="1D5FD1"/>
                  <w:u w:val="single"/>
                  <w:b/>
                  <w:sz w:val="16"/>
                  <w:szCs w:val="16"/>
                  <w:rFonts w:ascii="Calibri" w:hAnsi="Calibri" w:eastAsia="Hiragino Sans GB"/>
                </w:rPr>
                <w:t>先进封装/HBM4 闸门</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云厂商 capex 指引是否继续上修</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TSM · NVDA · MU · 000660.KS · ASML · 002916.SZ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4</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8864B"/>
                <w:sz w:val="15"/>
              </w:rPr>
              <w:t>OVERWEIGHT</w:t>
            </w:r>
          </w:p>
        </w:tc>
        <w:tc>
          <w:tcPr>
            <w:tcW w:type="dxa" w:w="2300"/>
            <w:tcMar>
              <w:top w:w="80" w:type="dxa"/>
              <w:bottom w:w="80" w:type="dxa"/>
              <w:start w:w="120" w:type="dxa"/>
              <w:end w:w="120" w:type="dxa"/>
            </w:tcMar>
          </w:tcPr>
          <w:p>
            <w:hyperlink r:id="rId77">
              <w:r>
                <w:rPr>
                  <w:color w:val="1D5FD1"/>
                  <w:u w:val="single"/>
                  <w:b/>
                  <w:sz w:val="16"/>
                  <w:szCs w:val="16"/>
                  <w:rFonts w:ascii="Calibri" w:hAnsi="Calibri" w:eastAsia="Hiragino Sans GB"/>
                </w:rPr>
                <w:t>AI 电力/电网设备</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并网排队和变压器交期是否继续拉长</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002028.SZ · 600089.SH · GEV · ETN · 601179.SH · VST</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5</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78">
              <w:r>
                <w:rPr>
                  <w:color w:val="1D5FD1"/>
                  <w:u w:val="single"/>
                  <w:b/>
                  <w:sz w:val="16"/>
                  <w:szCs w:val="16"/>
                  <w:rFonts w:ascii="Calibri" w:hAnsi="Calibri" w:eastAsia="Hiragino Sans GB"/>
                </w:rPr>
                <w:t>A股半导体/两融负 Gamma</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688256.SH · 588000.SH · 688981.SH · 0981.HK · 688041.SH · 688012.SH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6</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79">
              <w:r>
                <w:rPr>
                  <w:color w:val="1D5FD1"/>
                  <w:u w:val="single"/>
                  <w:b/>
                  <w:sz w:val="16"/>
                  <w:szCs w:val="16"/>
                  <w:rFonts w:ascii="Calibri" w:hAnsi="Calibri" w:eastAsia="Hiragino Sans GB"/>
                </w:rPr>
                <w:t>公用事业/电网信用</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并网排队和变压器交期是否继续拉长</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600900.SH · DUK · CEG · AEP · 600905.SH · 600025.SH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7</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80">
              <w:r>
                <w:rPr>
                  <w:color w:val="1D5FD1"/>
                  <w:u w:val="single"/>
                  <w:b/>
                  <w:sz w:val="16"/>
                  <w:szCs w:val="16"/>
                  <w:rFonts w:ascii="Calibri" w:hAnsi="Calibri" w:eastAsia="Hiragino Sans GB"/>
                </w:rPr>
                <w:t>中国大健康/创新药出海</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部署节奏是否兑现为收入</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1801.HK · 600276.SH · 2359.HK · 2269.HK · 603259.SH · 9926.HK</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8</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13">
              <w:r>
                <w:rPr>
                  <w:color w:val="1D5FD1"/>
                  <w:u w:val="single"/>
                  <w:b/>
                  <w:sz w:val="16"/>
                  <w:szCs w:val="16"/>
                  <w:rFonts w:ascii="Calibri" w:hAnsi="Calibri" w:eastAsia="Hiragino Sans GB"/>
                </w:rPr>
                <w:t>油气/地缘通胀</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油价和金属缺口是否从成本冲击变成需求破坏</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0883.HK · CVX · XOM · 0857.HK · COP · 2883.HK</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9</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12">
              <w:r>
                <w:rPr>
                  <w:color w:val="1D5FD1"/>
                  <w:u w:val="single"/>
                  <w:b/>
                  <w:sz w:val="16"/>
                  <w:szCs w:val="16"/>
                  <w:rFonts w:ascii="Calibri" w:hAnsi="Calibri" w:eastAsia="Hiragino Sans GB"/>
                </w:rPr>
                <w:t>AI 算力半导体</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NVDA · TSM · 000660.KS · META · AMD · AVGO</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10</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8864B"/>
                <w:sz w:val="15"/>
              </w:rPr>
              <w:t>OVERWEIGHT</w:t>
            </w:r>
          </w:p>
        </w:tc>
        <w:tc>
          <w:tcPr>
            <w:tcW w:type="dxa" w:w="2300"/>
            <w:tcMar>
              <w:top w:w="80" w:type="dxa"/>
              <w:bottom w:w="80" w:type="dxa"/>
              <w:start w:w="120" w:type="dxa"/>
              <w:end w:w="120" w:type="dxa"/>
            </w:tcMar>
          </w:tcPr>
          <w:p>
            <w:hyperlink r:id="rId14">
              <w:r>
                <w:rPr>
                  <w:color w:val="1D5FD1"/>
                  <w:u w:val="single"/>
                  <w:b/>
                  <w:sz w:val="16"/>
                  <w:szCs w:val="16"/>
                  <w:rFonts w:ascii="Calibri" w:hAnsi="Calibri" w:eastAsia="Hiragino Sans GB"/>
                </w:rPr>
                <w:t>A股红利/硬科技杠铃</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600900.SH · 601088.SH · 601398.SH · 688981.SH · 588000.SH · 600941.SH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11</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81">
              <w:r>
                <w:rPr>
                  <w:color w:val="1D5FD1"/>
                  <w:u w:val="single"/>
                  <w:b/>
                  <w:sz w:val="16"/>
                  <w:szCs w:val="16"/>
                  <w:rFonts w:ascii="Calibri" w:hAnsi="Calibri" w:eastAsia="Hiragino Sans GB"/>
                </w:rPr>
                <w:t>A股风险偏好/两融</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588000.SH · 510300.SH · 512100.SH · 300308.SZ · 600900.SH · 300750.SZ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12</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82">
              <w:r>
                <w:rPr>
                  <w:color w:val="1D5FD1"/>
                  <w:u w:val="single"/>
                  <w:b/>
                  <w:sz w:val="16"/>
                  <w:szCs w:val="16"/>
                  <w:rFonts w:ascii="Calibri" w:hAnsi="Calibri" w:eastAsia="Hiragino Sans GB"/>
                </w:rPr>
                <w:t>食品加工/成本传导</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600298.SH · 001215.SZ · 603027.SH · 300973.SZ · 603317.SH · 002847.SZ</w:t>
            </w:r>
          </w:p>
        </w:tc>
      </w:tr>
    </w:tbl>
    <w:p>
      <w:pPr>
        <w:pStyle w:val="Heading1"/>
      </w:pPr>
      <w:r>
        <w:t>6. 关键分歧：保留正反两面</w:t>
      </w:r>
    </w:p>
    <w:p>
      <w:pPr>
        <w:pStyle w:val="Heading2"/>
      </w:pPr>
      <w:r>
        <w:t>01 · AI需求扩张与串行供给闸门</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AI及企业存储需求仍支撑加速器、HBM、定制芯片和电力设备的中期订单，收益池向更多基础设施环节扩散。</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HBM良率、先进封装、电网接入和融资成本是串行约束；任一环节延误都可能使订单、收入和现金流错期，纯算力贝塔还面临链内去杠杆风险。</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云厂商资本开支指引、HBM与先进封装良率、交付周期、已通电项目数量及供应商自由现金流是否在同一报告期改善。</w:t>
            </w:r>
          </w:p>
        </w:tc>
      </w:tr>
    </w:tbl>
    <w:p>
      <w:pPr>
        <w:pStyle w:val="Heading2"/>
      </w:pPr>
      <w:r>
        <w:t>02 · A股红利/硬科技杠铃与交易结构脆弱性</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红利现金流能够提供防御底盘，订单可验证的硬科技保留政策与产业升级弹性，杠铃比单押一种风格更能容纳宏观不确定性。</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融资盘、ETF申赎和外部资金若不同向，硬科技腿可能先于基本面去杠杆；银行及高股息资产也并非无风险，信用与分红能力仍需压力测试。</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融资余额、ETF申赎和北向资金出现连续同向变化，同时硬科技中报订单、红利资产现金流与分红能力得到验证。</w:t>
            </w:r>
          </w:p>
        </w:tc>
      </w:tr>
    </w:tbl>
    <w:p>
      <w:pPr>
        <w:pStyle w:val="Heading2"/>
      </w:pPr>
      <w:r>
        <w:t>03 · AI电力受益与项目延期、成本侵蚀</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并网排队、变压器需求和数据中心负荷增加，使电网设备、受监管费率资产及已锁定供电能力具备较清晰的需求来源。</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设备短缺、燃气成本、关税和共享输电成本可能延后通电，并侵蚀不能顺利传导成本的运营商与设备商利润率；瓶颈也可能从租金来源变成需求破坏。</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订单转收入、变压器交付、项目通电、成本回收机制和毛利率能否同步兑现，而非只有交期拉长。</w:t>
            </w:r>
          </w:p>
        </w:tc>
      </w:tr>
    </w:tbl>
    <w:p>
      <w:pPr>
        <w:pStyle w:val="Heading2"/>
      </w:pPr>
      <w:r>
        <w:t>04 · 服务消费客流恢复与利润率修复</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RevPAR、翻台率和经营效率若持续改善，小盘服务消费公司可能形成脱离行业贝塔的经营Alpha。</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成本、促销和价格敏感度可能使客流增长无法转化为利润率；现有研究分歧较高，尚不能证明广谱消费复苏。</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同店收入、RevPAR或翻台率与门店利润率、经营现金流连续同向改善。若量增价弱或利润率下降，复苏主张应降级。</w:t>
            </w:r>
          </w:p>
        </w:tc>
      </w:tr>
    </w:tbl>
    <w:p>
      <w:pPr>
        <w:pStyle w:val="Heading2"/>
      </w:pPr>
      <w:r>
        <w:t>05 · AI再通胀与通缩、实际利率路径</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电力设备、燃料和资本品需求可能延长通胀黏性，使具备成本传导能力的能源、电网和实物资产相对受益。</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若增长放缓或供给修复推动通胀降温，AI再通胀可能只停留在局部行业；反之，通胀过强又会推高实际利率，压制长久期与高估值资产。</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核心CPI/PCE、能源价格、盈亏平衡通胀与实际利率的组合变化，以及企业能否把成本传导为收入和现金流。</w:t>
            </w:r>
          </w:p>
        </w:tc>
      </w:tr>
    </w:tbl>
    <w:p>
      <w:pPr>
        <w:pStyle w:val="Heading1"/>
      </w:pPr>
      <w:r>
        <w:t>7. 下周验证清单</w:t>
      </w:r>
    </w:p>
    <w:p>
      <w:pPr>
        <w:pStyle w:val="Heading2"/>
      </w:pPr>
      <w:r>
        <w:t>01 · 云厂商资本开支、HBM/先进封装交付与现金流是否共振</w:t>
      </w:r>
    </w:p>
    <w:p>
      <w:pPr>
        <w:keepLines/>
      </w:pPr>
      <w:r>
        <w:rPr>
          <w:rFonts w:ascii="Calibri" w:hAnsi="Calibri" w:eastAsia="Hiragino Sans GB"/>
          <w:b w:val="0"/>
          <w:color w:val="5E6268"/>
          <w:sz w:val="22"/>
        </w:rPr>
        <w:t>这是判断AI需求能否穿过供给闸门并修复TRIM理由的核心证据，单一订单或主题热度均不足。</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云厂商明确上修资本开支或部署指引，同时关键供应商披露良率、交付和自由现金流改善。</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维持总体风险纪律，在已减仓基础上优先恢复订单和现金流已确认的存储、定制芯片及关键配套敞口；不直接恢复无差别算力贝塔。</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资本开支指引持平或下修，或HBM、先进封装及通电延期导致交付和现金流继续错期。</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继续压缩高估值纯算力与交付不确定环节，把保留仓位集中到现金流和合同可见度更高的公司。</w:t>
            </w:r>
          </w:p>
        </w:tc>
      </w:tr>
    </w:tbl>
    <w:p>
      <w:pPr>
        <w:pStyle w:val="Heading2"/>
      </w:pPr>
      <w:r>
        <w:t>02 · 电网设备订单能否转化为交付、通电和毛利</w:t>
      </w:r>
    </w:p>
    <w:p>
      <w:pPr>
        <w:keepLines/>
      </w:pPr>
      <w:r>
        <w:rPr>
          <w:rFonts w:ascii="Calibri" w:hAnsi="Calibri" w:eastAsia="Hiragino Sans GB"/>
          <w:b w:val="0"/>
          <w:color w:val="5E6268"/>
          <w:sz w:val="22"/>
        </w:rPr>
        <w:t>交期拉长既可能代表议价权，也可能意味着项目延期；只有收入与利润兑现才能区分受益者和瓶颈受害者。</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设备商订单转收入、项目按期通电、毛利率稳定，且公用事业成本回收机制得到明确确认。</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提高电网设备、已锁定供电能力和受监管成本回收资产在AI基础设施观察仓中的权重。</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交期继续延长但收入确认推迟，项目取消或延期增加，燃料与设备成本无法通过费率或合同传导。</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降低项目开发商和成本传导能力弱的公用事业敞口，仅保留合同可见度高、资产负债表稳健的设备环节。</w:t>
            </w:r>
          </w:p>
        </w:tc>
      </w:tr>
    </w:tbl>
    <w:p>
      <w:pPr>
        <w:pStyle w:val="Heading2"/>
      </w:pPr>
      <w:r>
        <w:t>03 · A股订单与融资余额、ETF申赎、北向资金是否同向</w:t>
      </w:r>
    </w:p>
    <w:p>
      <w:pPr>
        <w:keepLines/>
      </w:pPr>
      <w:r>
        <w:rPr>
          <w:rFonts w:ascii="Calibri" w:hAnsi="Calibri" w:eastAsia="Hiragino Sans GB"/>
          <w:b w:val="0"/>
          <w:color w:val="5E6268"/>
          <w:sz w:val="22"/>
        </w:rPr>
        <w:t>硬科技复苏需要基本面和交易结构共振；本期没有可用行情数据，当前只能把这些指标设为待验证触发器。</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硬科技订单或中报指引改善，并且融资余额、相关ETF申购与北向资金连续同向增强。</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保留红利底仓，从观察预算中小幅提高订单可验证的硬科技细分仓位，避免一次性扩大指数贝塔。</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订单验证落空，或融资余额、ETF申赎与北向资金出现持续背离或共同走弱。</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收缩硬科技腿并维持红利防御底盘；若红利现金流或分红能力也恶化，则同步降低整个杠铃的风险预算。</w:t>
            </w:r>
          </w:p>
        </w:tc>
      </w:tr>
    </w:tbl>
    <w:p>
      <w:pPr>
        <w:pStyle w:val="Heading2"/>
      </w:pPr>
      <w:r>
        <w:t>04 · 核心通胀、能源价格与实际利率的联合方向</w:t>
      </w:r>
    </w:p>
    <w:p>
      <w:pPr>
        <w:keepLines/>
      </w:pPr>
      <w:r>
        <w:rPr>
          <w:rFonts w:ascii="Calibri" w:hAnsi="Calibri" w:eastAsia="Hiragino Sans GB"/>
          <w:b w:val="0"/>
          <w:color w:val="5E6268"/>
          <w:sz w:val="22"/>
        </w:rPr>
        <w:t>这组变量决定AI资本开支是表现为可盈利的设备需求，还是转化为折现率冲击和需求破坏。</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核心CPI/PCE与能源价格保持韧性，设备和公用事业收入同步改善，且实际利率没有出现失控上行。</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偏向具备成本传导和现金流的电网、受监管公用事业及能源环节，同时控制长久期和高估值资产。</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通胀加速并推动实际利率明显上行，或通胀迅速降温且AI相关能源和设备需求同时走弱。</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若通胀降温且实际利率回落，选择性恢复久期；若属于滞胀式冲击，则同时降低长久期和高运营杠杆风险。</w:t>
            </w:r>
          </w:p>
        </w:tc>
      </w:tr>
    </w:tbl>
    <w:p>
      <w:pPr>
        <w:pStyle w:val="Heading2"/>
      </w:pPr>
      <w:r>
        <w:t>05 · 服务消费经营指标能否跨越到利润率和现金流</w:t>
      </w:r>
    </w:p>
    <w:p>
      <w:pPr>
        <w:keepLines/>
      </w:pPr>
      <w:r>
        <w:rPr>
          <w:rFonts w:ascii="Calibri" w:hAnsi="Calibri" w:eastAsia="Hiragino Sans GB"/>
          <w:b w:val="0"/>
          <w:color w:val="5E6268"/>
          <w:sz w:val="22"/>
        </w:rPr>
        <w:t>酒店餐饮休闲的可配置性已不取决于客流故事，而取决于价格、翻台与成本控制能否共同兑现。</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公司披露RevPAR或翻台率改善，同时门店利润率、经营现金流和单位经济性连续提升。</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以小比例、分批方式增加经营效率已验证的标的，并与防御性消费或股息资产配对。</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客流或收入增长主要依赖折扣，利润率和经营现金流没有改善，或管理层下调经营指引。</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维持HOLD且不增加行业贝塔，剔除成本传导弱、现金流恶化的高运营杠杆标的。</w:t>
            </w:r>
          </w:p>
        </w:tc>
      </w:tr>
    </w:tbl>
    <w:p>
      <w:pPr>
        <w:pStyle w:val="Heading2"/>
      </w:pPr>
      <w:r>
        <w:t>06 · 上游资本开支、油服利用率与日费率是否兑现能源需求</w:t>
      </w:r>
    </w:p>
    <w:p>
      <w:pPr>
        <w:keepLines/>
      </w:pPr>
      <w:r>
        <w:rPr>
          <w:rFonts w:ascii="Calibri" w:hAnsi="Calibri" w:eastAsia="Hiragino Sans GB"/>
          <w:b w:val="0"/>
          <w:color w:val="5E6268"/>
          <w:sz w:val="22"/>
        </w:rPr>
        <w:t>只有需求尾部转成客户预算、设备利用率和现金流，才能修复油气/地缘通胀的TRIM理由。</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上游企业提高资本开支指引，钻井平台利用率与日费率上升，油服自由现金流同步改善。</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停止进一步减仓并重新评估高利用率、高技术服务占比的油服敞口，但不以单次地缘事件追高。</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能源成本上升但上游预算未增加，利用率或日费率走弱，或需求破坏迹象增加。</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继续降低地缘贝塔和高固定成本油服仓位，仅保留资产负债表与现金流更稳健的风险雷达仓。</w:t>
            </w:r>
          </w:p>
        </w:tc>
      </w:tr>
    </w:tbl>
    <w:p>
      <w:pPr>
        <w:pStyle w:val="Heading1"/>
      </w:pPr>
      <w:r>
        <w:t>8. 发布质量与数据边界</w:t>
      </w:r>
    </w:p>
    <w:p>
      <w:pPr>
        <w:keepLines w:val="0"/>
      </w:pPr>
      <w:r>
        <w:rPr>
          <w:rFonts w:ascii="Calibri" w:hAnsi="Calibri" w:eastAsia="Hiragino Sans GB"/>
          <w:b/>
          <w:color w:val="111111"/>
          <w:sz w:val="22"/>
        </w:rPr>
        <w:t>本周结构化市场报价为空，因此不发布伪精确收益归因；正式命中率与 Brier 需要已结算 forecast 合约。</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2500"/>
        <w:gridCol w:w="1860"/>
        <w:gridCol w:w="5000"/>
      </w:tblGrid>
      <w:tr>
        <w:trPr>
          <w:cantSplit/>
          <w:tblHeader w:val="true"/>
        </w:trPr>
        <w:tc>
          <w:tcPr>
            <w:tcW w:type="dxa" w:w="2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CHECK</w:t>
            </w:r>
          </w:p>
        </w:tc>
        <w:tc>
          <w:tcPr>
            <w:tcW w:type="dxa" w:w="18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STATUS / VALUE</w:t>
            </w:r>
          </w:p>
        </w:tc>
        <w:tc>
          <w:tcPr>
            <w:tcW w:type="dxa" w:w="50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INTERPRETATION</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公开来源数</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80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公开来源覆盖</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操作结论证据覆盖</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7/7</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每条操作结论均有证据映射</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反向证据</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133</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保留反向与挑战证据</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上周基线</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D85B16"/>
                <w:sz w:val="16"/>
              </w:rPr>
              <w:t>warn · baseline</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是否具备可比较上周基线</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结构化市场报价</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D85B16"/>
                <w:sz w:val="16"/>
              </w:rPr>
              <w:t>warn · 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是否具备结构化市场报价</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人类友好综合</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structured_llm</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是否完成人类友好叙事综合</w:t>
            </w:r>
          </w:p>
        </w:tc>
      </w:tr>
    </w:tbl>
    <w:p>
      <w:pPr>
        <w:keepLines w:val="0"/>
      </w:pPr>
      <w:r>
        <w:rPr>
          <w:rFonts w:ascii="Calibri" w:hAnsi="Calibri" w:eastAsia="Hiragino Sans GB"/>
          <w:b/>
          <w:color w:val="C92A2A"/>
          <w:sz w:val="22"/>
        </w:rPr>
        <w:t>本版明确不发布：verified_market_performance · settled_forecast_hit_rate_and_brier</w:t>
      </w:r>
    </w:p>
    <w:p>
      <w:pPr>
        <w:keepLines w:val="0"/>
      </w:pPr>
      <w:r>
        <w:rPr>
          <w:rFonts w:ascii="Calibri" w:hAnsi="Calibri" w:eastAsia="Hiragino Sans GB"/>
          <w:b w:val="0"/>
          <w:color w:val="5E6268"/>
          <w:sz w:val="22"/>
        </w:rPr>
        <w:t>仅包含已发布研究合约、公开报告路径和可复查映射；不包含内部运行记录、鉴权或生产提示。</w:t>
      </w:r>
    </w:p>
    <w:p>
      <w:r>
        <w:br w:type="page"/>
      </w:r>
    </w:p>
    <w:p>
      <w:pPr>
        <w:pStyle w:val="SectionLabel"/>
      </w:pPr>
      <w:r>
        <w:rPr>
          <w:rFonts w:ascii="Calibri" w:hAnsi="Calibri" w:eastAsia="Hiragino Sans GB"/>
          <w:b/>
          <w:color w:val="1D5FD1"/>
          <w:sz w:val="17"/>
        </w:rPr>
        <w:t>PROVENANCE LEDGER</w:t>
      </w:r>
    </w:p>
    <w:p>
      <w:pPr>
        <w:pStyle w:val="Heading1"/>
      </w:pPr>
      <w:r>
        <w:t>9. 完整来源账本</w:t>
      </w:r>
    </w:p>
    <w:p>
      <w:pPr>
        <w:keepLines w:val="0"/>
      </w:pPr>
      <w:r>
        <w:rPr>
          <w:rFonts w:ascii="Calibri" w:hAnsi="Calibri" w:eastAsia="Hiragino Sans GB"/>
          <w:b w:val="0"/>
          <w:color w:val="111111"/>
          <w:sz w:val="22"/>
        </w:rPr>
        <w:t>共 80 条公开来源。标题可点击进入对应研究详情；本表保留日期、类别和主要证据角色。</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520"/>
        <w:gridCol w:w="1240"/>
        <w:gridCol w:w="5940"/>
        <w:gridCol w:w="1660"/>
      </w:tblGrid>
      <w:tr>
        <w:trPr>
          <w:cantSplit/>
          <w:tblHeader w:val="true"/>
        </w:trPr>
        <w:tc>
          <w:tcPr>
            <w:tcW w:type="dxa" w:w="52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NO.</w:t>
            </w:r>
          </w:p>
        </w:tc>
        <w:tc>
          <w:tcPr>
            <w:tcW w:type="dxa" w:w="124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DATE</w:t>
            </w:r>
          </w:p>
        </w:tc>
        <w:tc>
          <w:tcPr>
            <w:tcW w:type="dxa" w:w="594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REPORT</w:t>
            </w:r>
          </w:p>
        </w:tc>
        <w:tc>
          <w:tcPr>
            <w:tcW w:type="dxa" w:w="16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ROLE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83">
              <w:r>
                <w:rPr>
                  <w:color w:val="1D5FD1"/>
                  <w:u w:val="single"/>
                  <w:b/>
                  <w:sz w:val="16"/>
                  <w:szCs w:val="16"/>
                  <w:rFonts w:ascii="Calibri" w:hAnsi="Calibri" w:eastAsia="Hiragino Sans GB"/>
                </w:rPr>
                <w:t>1. 文件完整性</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84">
              <w:r>
                <w:rPr>
                  <w:color w:val="1D5FD1"/>
                  <w:u w:val="single"/>
                  <w:b/>
                  <w:sz w:val="16"/>
                  <w:szCs w:val="16"/>
                  <w:rFonts w:ascii="Calibri" w:hAnsi="Calibri" w:eastAsia="Hiragino Sans GB"/>
                </w:rPr>
                <w:t>2026-07-16 研究记录08：Q4 2026关税与稀土管制升级下出口制造企业外汇流动性压力测试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34">
              <w:r>
                <w:rPr>
                  <w:color w:val="1D5FD1"/>
                  <w:u w:val="single"/>
                  <w:b/>
                  <w:sz w:val="16"/>
                  <w:szCs w:val="16"/>
                  <w:rFonts w:ascii="Calibri" w:hAnsi="Calibri" w:eastAsia="Hiragino Sans GB"/>
                </w:rPr>
                <w:t>通胀持续性与实际利率路径：核心PCE与盈亏平衡能否把黄金/TIPS倾斜支撑到2027，还是2026下半年至20...</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35">
              <w:r>
                <w:rPr>
                  <w:color w:val="1D5FD1"/>
                  <w:u w:val="single"/>
                  <w:b/>
                  <w:sz w:val="16"/>
                  <w:szCs w:val="16"/>
                  <w:rFonts w:ascii="Calibri" w:hAnsi="Calibri" w:eastAsia="Hiragino Sans GB"/>
                </w:rPr>
                <w:t>隔夜主题轮动扫描：AI 资本开支从“算力贝塔”转向“电力瓶颈”</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85">
              <w:r>
                <w:rPr>
                  <w:color w:val="1D5FD1"/>
                  <w:u w:val="single"/>
                  <w:b/>
                  <w:sz w:val="16"/>
                  <w:szCs w:val="16"/>
                  <w:rFonts w:ascii="Calibri" w:hAnsi="Calibri" w:eastAsia="Hiragino Sans GB"/>
                </w:rPr>
                <w:t>A股中游制造与建材板块的机构仓位出清度、历史筹码拥挤度及两融杠杆资金流入弹性测算</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27">
              <w:r>
                <w:rPr>
                  <w:color w:val="1D5FD1"/>
                  <w:u w:val="single"/>
                  <w:b/>
                  <w:sz w:val="16"/>
                  <w:szCs w:val="16"/>
                  <w:rFonts w:ascii="Calibri" w:hAnsi="Calibri" w:eastAsia="Hiragino Sans GB"/>
                </w:rPr>
                <w:t>2026年7月16日情绪压力测试：A股拥挤度、北向脆弱性与红利隔离</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86">
              <w:r>
                <w:rPr>
                  <w:color w:val="1D5FD1"/>
                  <w:u w:val="single"/>
                  <w:b/>
                  <w:sz w:val="16"/>
                  <w:szCs w:val="16"/>
                  <w:rFonts w:ascii="Calibri" w:hAnsi="Calibri" w:eastAsia="Hiragino Sans GB"/>
                </w:rPr>
                <w:t>USD/CNH 7.30 压力区间与离岸资金冲击压力测试报告 — 2026-07-16</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87">
              <w:r>
                <w:rPr>
                  <w:color w:val="1D5FD1"/>
                  <w:u w:val="single"/>
                  <w:b/>
                  <w:sz w:val="16"/>
                  <w:szCs w:val="16"/>
                  <w:rFonts w:ascii="Calibri" w:hAnsi="Calibri" w:eastAsia="Hiragino Sans GB"/>
                </w:rPr>
                <w:t>2026-07-16 研究记录09：出口应收账款的USD/CNY期权套保模板与人民币流动性预算</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88">
              <w:r>
                <w:rPr>
                  <w:color w:val="1D5FD1"/>
                  <w:u w:val="single"/>
                  <w:b/>
                  <w:sz w:val="16"/>
                  <w:szCs w:val="16"/>
                  <w:rFonts w:ascii="Calibri" w:hAnsi="Calibri" w:eastAsia="Hiragino Sans GB"/>
                </w:rPr>
                <w:t>2026-07-16 研究记录10：USD/CNY远期贴水与结售汇政策变化对人民币保证金缓冲的压力测试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89">
              <w:r>
                <w:rPr>
                  <w:color w:val="1D5FD1"/>
                  <w:u w:val="single"/>
                  <w:b/>
                  <w:sz w:val="16"/>
                  <w:szCs w:val="16"/>
                  <w:rFonts w:ascii="Calibri" w:hAnsi="Calibri" w:eastAsia="Hiragino Sans GB"/>
                </w:rPr>
                <w:t>盘前风险观察 · Chief Risk Watch</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90">
              <w:r>
                <w:rPr>
                  <w:color w:val="1D5FD1"/>
                  <w:u w:val="single"/>
                  <w:b/>
                  <w:sz w:val="16"/>
                  <w:szCs w:val="16"/>
                  <w:rFonts w:ascii="Calibri" w:hAnsi="Calibri" w:eastAsia="Hiragino Sans GB"/>
                </w:rPr>
                <w:t>PPI–CPI 剪刀差、食品通缩与成本红利拐点 — 2026-07-16</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91">
              <w:r>
                <w:rPr>
                  <w:color w:val="1D5FD1"/>
                  <w:u w:val="single"/>
                  <w:b/>
                  <w:sz w:val="16"/>
                  <w:szCs w:val="16"/>
                  <w:rFonts w:ascii="Calibri" w:hAnsi="Calibri" w:eastAsia="Hiragino Sans GB"/>
                </w:rPr>
                <w:t>A股情绪与资金流晨会快照</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92">
              <w:r>
                <w:rPr>
                  <w:color w:val="1D5FD1"/>
                  <w:u w:val="single"/>
                  <w:b/>
                  <w:sz w:val="16"/>
                  <w:szCs w:val="16"/>
                  <w:rFonts w:ascii="Calibri" w:hAnsi="Calibri" w:eastAsia="Hiragino Sans GB"/>
                </w:rPr>
                <w:t>A股智能网联汽车零部件篮子：市场结构、两融拥挤度与交易容量深度验证</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93">
              <w:r>
                <w:rPr>
                  <w:color w:val="1D5FD1"/>
                  <w:u w:val="single"/>
                  <w:b/>
                  <w:sz w:val="16"/>
                  <w:szCs w:val="16"/>
                  <w:rFonts w:ascii="Calibri" w:hAnsi="Calibri" w:eastAsia="Hiragino Sans GB"/>
                </w:rPr>
                <w:t>食品加工产业链研究压力测试 — 2026-07-16</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21">
              <w:r>
                <w:rPr>
                  <w:color w:val="1D5FD1"/>
                  <w:u w:val="single"/>
                  <w:b/>
                  <w:sz w:val="16"/>
                  <w:szCs w:val="16"/>
                  <w:rFonts w:ascii="Calibri" w:hAnsi="Calibri" w:eastAsia="Hiragino Sans GB"/>
                </w:rPr>
                <w:t>2026-07-16 | 7月16日每日投资综合：AI瓶颈从设备交期细化到费率残余，半导体与出口制造进入验证期</w:t>
              </w:r>
            </w:hyperlink>
            <w:r>
              <w:rPr>
                <w:rFonts w:ascii="Calibri" w:hAnsi="Calibri" w:eastAsia="Hiragino Sans GB"/>
                <w:color w:val="5E6268"/>
                <w:sz w:val="14"/>
              </w:rPr>
              <w:br/>
              <w:t>AI Institute 综合编辑 · Reader report</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daily_synthesis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94">
              <w:r>
                <w:rPr>
                  <w:color w:val="1D5FD1"/>
                  <w:u w:val="single"/>
                  <w:b/>
                  <w:sz w:val="16"/>
                  <w:szCs w:val="16"/>
                  <w:rFonts w:ascii="Calibri" w:hAnsi="Calibri" w:eastAsia="Hiragino Sans GB"/>
                </w:rPr>
                <w:t>银行股息率对冲方案的期权成本效益与波动率凸性量化评估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95">
              <w:r>
                <w:rPr>
                  <w:color w:val="1D5FD1"/>
                  <w:u w:val="single"/>
                  <w:b/>
                  <w:sz w:val="16"/>
                  <w:szCs w:val="16"/>
                  <w:rFonts w:ascii="Calibri" w:hAnsi="Calibri" w:eastAsia="Hiragino Sans GB"/>
                </w:rPr>
                <w:t>A股策略晨会交易计划</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96">
              <w:r>
                <w:rPr>
                  <w:color w:val="1D5FD1"/>
                  <w:u w:val="single"/>
                  <w:b/>
                  <w:sz w:val="16"/>
                  <w:szCs w:val="16"/>
                  <w:rFonts w:ascii="Calibri" w:hAnsi="Calibri" w:eastAsia="Hiragino Sans GB"/>
                </w:rPr>
                <w:t>美债名义久期压力测试 既有研究记录— Stress-Test — 2026-07-16</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97">
              <w:r>
                <w:rPr>
                  <w:color w:val="1D5FD1"/>
                  <w:u w:val="single"/>
                  <w:b/>
                  <w:sz w:val="16"/>
                  <w:szCs w:val="16"/>
                  <w:rFonts w:ascii="Calibri" w:hAnsi="Calibri" w:eastAsia="Hiragino Sans GB"/>
                </w:rPr>
                <w:t>§1 THESIS</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98">
              <w:r>
                <w:rPr>
                  <w:color w:val="1D5FD1"/>
                  <w:u w:val="single"/>
                  <w:b/>
                  <w:sz w:val="16"/>
                  <w:szCs w:val="16"/>
                  <w:rFonts w:ascii="Calibri" w:hAnsi="Calibri" w:eastAsia="Hiragino Sans GB"/>
                </w:rPr>
                <w:t>先进制造订单、排产与资本开支转化对2026年下半年盈利桥的验证</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99">
              <w:r>
                <w:rPr>
                  <w:color w:val="1D5FD1"/>
                  <w:u w:val="single"/>
                  <w:b/>
                  <w:sz w:val="16"/>
                  <w:szCs w:val="16"/>
                  <w:rFonts w:ascii="Calibri" w:hAnsi="Calibri" w:eastAsia="Hiragino Sans GB"/>
                </w:rPr>
                <w:t>A股去杠杆收缩下的实体信用传导与宏观流动性政策空间约束报告 (2026-07-16)</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30">
              <w:r>
                <w:rPr>
                  <w:color w:val="1D5FD1"/>
                  <w:u w:val="single"/>
                  <w:b/>
                  <w:sz w:val="16"/>
                  <w:szCs w:val="16"/>
                  <w:rFonts w:ascii="Calibri" w:hAnsi="Calibri" w:eastAsia="Hiragino Sans GB"/>
                </w:rPr>
                <w:t>酒店、餐馆与休闲产业链调研报告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100">
              <w:r>
                <w:rPr>
                  <w:color w:val="1D5FD1"/>
                  <w:u w:val="single"/>
                  <w:b/>
                  <w:sz w:val="16"/>
                  <w:szCs w:val="16"/>
                  <w:rFonts w:ascii="Calibri" w:hAnsi="Calibri" w:eastAsia="Hiragino Sans GB"/>
                </w:rPr>
                <w:t>国家发改委（NDRC）化肥保供稳价政策与国内煤炭限价机制的协同效应</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31">
              <w:r>
                <w:rPr>
                  <w:color w:val="1D5FD1"/>
                  <w:u w:val="single"/>
                  <w:b/>
                  <w:sz w:val="16"/>
                  <w:szCs w:val="16"/>
                  <w:rFonts w:ascii="Calibri" w:hAnsi="Calibri" w:eastAsia="Hiragino Sans GB"/>
                </w:rPr>
                <w:t>策略专题：执行 th p 109a0310 减仓——削减食品加工/消费贝塔，轮动至防御性股息</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101">
              <w:r>
                <w:rPr>
                  <w:color w:val="1D5FD1"/>
                  <w:u w:val="single"/>
                  <w:b/>
                  <w:sz w:val="16"/>
                  <w:szCs w:val="16"/>
                  <w:rFonts w:ascii="Calibri" w:hAnsi="Calibri" w:eastAsia="Hiragino Sans GB"/>
                </w:rPr>
                <w:t>Q4 2026 压力测试：稀土管制悬崖、关税传导与零部件订单定价重估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102">
              <w:r>
                <w:rPr>
                  <w:color w:val="1D5FD1"/>
                  <w:u w:val="single"/>
                  <w:b/>
                  <w:sz w:val="16"/>
                  <w:szCs w:val="16"/>
                  <w:rFonts w:ascii="Calibri" w:hAnsi="Calibri" w:eastAsia="Hiragino Sans GB"/>
                </w:rPr>
                <w:t>资金流向分析：北向 / 主力 / 融资 / ETF</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103">
              <w:r>
                <w:rPr>
                  <w:color w:val="1D5FD1"/>
                  <w:u w:val="single"/>
                  <w:b/>
                  <w:sz w:val="16"/>
                  <w:szCs w:val="16"/>
                  <w:rFonts w:ascii="Calibri" w:hAnsi="Calibri" w:eastAsia="Hiragino Sans GB"/>
                </w:rPr>
                <w:t>2026-07-16 材料核验：钕铁硼管制与精密丝杠钢</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2026-07-16</w:t>
            </w:r>
          </w:p>
        </w:tc>
        <w:tc>
          <w:tcPr>
            <w:tcW w:type="dxa" w:w="5940"/>
            <w:tcMar>
              <w:top w:w="80" w:type="dxa"/>
              <w:bottom w:w="80" w:type="dxa"/>
              <w:start w:w="120" w:type="dxa"/>
              <w:end w:w="120" w:type="dxa"/>
            </w:tcMar>
          </w:tcPr>
          <w:p>
            <w:pPr>
              <w:spacing w:after="20"/>
            </w:pPr>
            <w:hyperlink r:id="rId104">
              <w:r>
                <w:rPr>
                  <w:color w:val="1D5FD1"/>
                  <w:u w:val="single"/>
                  <w:b/>
                  <w:sz w:val="16"/>
                  <w:szCs w:val="16"/>
                  <w:rFonts w:ascii="Calibri" w:hAnsi="Calibri" w:eastAsia="Hiragino Sans GB"/>
                </w:rPr>
                <w:t>今日市场情绪综合指数（数据源校验 版）</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20">
              <w:r>
                <w:rPr>
                  <w:color w:val="1D5FD1"/>
                  <w:u w:val="single"/>
                  <w:b/>
                  <w:sz w:val="16"/>
                  <w:szCs w:val="16"/>
                  <w:rFonts w:ascii="Calibri" w:hAnsi="Calibri" w:eastAsia="Hiragino Sans GB"/>
                </w:rPr>
                <w:t>国产HBM先进封装材料良率瓶颈与TSMC先进制程价格壁垒下的硬科技估值底线重估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39">
              <w:r>
                <w:rPr>
                  <w:color w:val="1D5FD1"/>
                  <w:u w:val="single"/>
                  <w:b/>
                  <w:sz w:val="16"/>
                  <w:szCs w:val="16"/>
                  <w:rFonts w:ascii="Calibri" w:hAnsi="Calibri" w:eastAsia="Hiragino Sans GB"/>
                </w:rPr>
                <w:t>AI资本开支融资链条的可持续性：利率、信用利差与流动性压测</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05">
              <w:r>
                <w:rPr>
                  <w:color w:val="1D5FD1"/>
                  <w:u w:val="single"/>
                  <w:b/>
                  <w:sz w:val="16"/>
                  <w:szCs w:val="16"/>
                  <w:rFonts w:ascii="Calibri" w:hAnsi="Calibri" w:eastAsia="Hiragino Sans GB"/>
                </w:rPr>
                <w:t>研究记录 - 国产 HBM 与先进封装约束对国内 AI 算力集群的影响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41">
              <w:r>
                <w:rPr>
                  <w:color w:val="1D5FD1"/>
                  <w:u w:val="single"/>
                  <w:b/>
                  <w:sz w:val="16"/>
                  <w:szCs w:val="16"/>
                  <w:rFonts w:ascii="Calibri" w:hAnsi="Calibri" w:eastAsia="Hiragino Sans GB"/>
                </w:rPr>
                <w:t>2026-07-15 压力测试——温和电力折价下 A股先进封装与算力材料篮子的拥挤度与盈利预测质量</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28">
              <w:r>
                <w:rPr>
                  <w:color w:val="1D5FD1"/>
                  <w:u w:val="single"/>
                  <w:b/>
                  <w:sz w:val="16"/>
                  <w:szCs w:val="16"/>
                  <w:rFonts w:ascii="Calibri" w:hAnsi="Calibri" w:eastAsia="Hiragino Sans GB"/>
                </w:rPr>
                <w:t>首席策略师研究记录 05：2026-07-15 将AI资本开支跨资产框架落地为A股风格轮动、行业篮子和失效触...</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23">
              <w:r>
                <w:rPr>
                  <w:color w:val="1D5FD1"/>
                  <w:u w:val="single"/>
                  <w:b/>
                  <w:sz w:val="16"/>
                  <w:szCs w:val="16"/>
                  <w:rFonts w:ascii="Calibri" w:hAnsi="Calibri" w:eastAsia="Hiragino Sans GB"/>
                </w:rPr>
                <w:t>2026-07-15 综合研判：测算AIDC燃气需求拉动对Henry Hub、LNG与内需分配、以及中游管道的量级影响...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26">
              <w:r>
                <w:rPr>
                  <w:color w:val="1D5FD1"/>
                  <w:u w:val="single"/>
                  <w:b/>
                  <w:sz w:val="16"/>
                  <w:szCs w:val="16"/>
                  <w:rFonts w:ascii="Calibri" w:hAnsi="Calibri" w:eastAsia="Hiragino Sans GB"/>
                </w:rPr>
                <w:t>2026-07-15 首席策略师研究报告：A股科技硬件与第二层红利哑铃的拥挤度、两融结构和中报验证</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06">
              <w:r>
                <w:rPr>
                  <w:color w:val="1D5FD1"/>
                  <w:u w:val="single"/>
                  <w:b/>
                  <w:sz w:val="16"/>
                  <w:szCs w:val="16"/>
                  <w:rFonts w:ascii="Calibri" w:hAnsi="Calibri" w:eastAsia="Hiragino Sans GB"/>
                </w:rPr>
                <w:t>Active research-project theses</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07">
              <w:r>
                <w:rPr>
                  <w:color w:val="1D5FD1"/>
                  <w:u w:val="single"/>
                  <w:b/>
                  <w:sz w:val="16"/>
                  <w:szCs w:val="16"/>
                  <w:rFonts w:ascii="Calibri" w:hAnsi="Calibri" w:eastAsia="Hiragino Sans GB"/>
                </w:rPr>
                <w:t>Active research-project theses</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08">
              <w:r>
                <w:rPr>
                  <w:color w:val="1D5FD1"/>
                  <w:u w:val="single"/>
                  <w:b/>
                  <w:sz w:val="16"/>
                  <w:szCs w:val="16"/>
                  <w:rFonts w:ascii="Calibri" w:hAnsi="Calibri" w:eastAsia="Hiragino Sans GB"/>
                </w:rPr>
                <w:t>Active research-project theses</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09">
              <w:r>
                <w:rPr>
                  <w:color w:val="1D5FD1"/>
                  <w:u w:val="single"/>
                  <w:b/>
                  <w:sz w:val="16"/>
                  <w:szCs w:val="16"/>
                  <w:rFonts w:ascii="Calibri" w:hAnsi="Calibri" w:eastAsia="Hiragino Sans GB"/>
                </w:rPr>
                <w:t>A股半导体板块政策与流动性托底的自上而下防守边界研究（2026-07-15）</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10">
              <w:r>
                <w:rPr>
                  <w:color w:val="1D5FD1"/>
                  <w:u w:val="single"/>
                  <w:b/>
                  <w:sz w:val="16"/>
                  <w:szCs w:val="16"/>
                  <w:rFonts w:ascii="Calibri" w:hAnsi="Calibri" w:eastAsia="Hiragino Sans GB"/>
                </w:rPr>
                <w:t>A股半导体细分环节中报业绩预告与订单可验证性评估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11">
              <w:r>
                <w:rPr>
                  <w:color w:val="1D5FD1"/>
                  <w:u w:val="single"/>
                  <w:b/>
                  <w:sz w:val="16"/>
                  <w:szCs w:val="16"/>
                  <w:rFonts w:ascii="Calibri" w:hAnsi="Calibri" w:eastAsia="Hiragino Sans GB"/>
                </w:rPr>
                <w:t>A股增量流动性能否为存储→设备轮动供血而不重新拥挤？</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38">
              <w:r>
                <w:rPr>
                  <w:color w:val="1D5FD1"/>
                  <w:u w:val="single"/>
                  <w:b/>
                  <w:sz w:val="16"/>
                  <w:szCs w:val="16"/>
                  <w:rFonts w:ascii="Calibri" w:hAnsi="Calibri" w:eastAsia="Hiragino Sans GB"/>
                </w:rPr>
                <w:t>专题研究：IBM暴跌是否昭示AI资本开支开始挤压软件预算？</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24">
              <w:r>
                <w:rPr>
                  <w:color w:val="1D5FD1"/>
                  <w:u w:val="single"/>
                  <w:b/>
                  <w:sz w:val="16"/>
                  <w:szCs w:val="16"/>
                  <w:rFonts w:ascii="Calibri" w:hAnsi="Calibri" w:eastAsia="Hiragino Sans GB"/>
                </w:rPr>
                <w:t>全球宏观研究记录03：2026-07-15的AI资本开支、通胀、利率与美元流动性</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12">
              <w:r>
                <w:rPr>
                  <w:color w:val="1D5FD1"/>
                  <w:u w:val="single"/>
                  <w:b/>
                  <w:sz w:val="16"/>
                  <w:szCs w:val="16"/>
                  <w:rFonts w:ascii="Calibri" w:hAnsi="Calibri" w:eastAsia="Hiragino Sans GB"/>
                </w:rPr>
                <w:t>全球对冲套袖框架下 A 股高 beta/科技仓位的防守与两融边界 — 2026-07-15</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13">
              <w:r>
                <w:rPr>
                  <w:color w:val="1D5FD1"/>
                  <w:u w:val="single"/>
                  <w:b/>
                  <w:sz w:val="16"/>
                  <w:szCs w:val="16"/>
                  <w:rFonts w:ascii="Calibri" w:hAnsi="Calibri" w:eastAsia="Hiragino Sans GB"/>
                </w:rPr>
                <w:t>房地产行业午间同步简报 (2026-07-15)</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14">
              <w:r>
                <w:rPr>
                  <w:color w:val="1D5FD1"/>
                  <w:u w:val="single"/>
                  <w:b/>
                  <w:sz w:val="16"/>
                  <w:szCs w:val="16"/>
                  <w:rFonts w:ascii="Calibri" w:hAnsi="Calibri" w:eastAsia="Hiragino Sans GB"/>
                </w:rPr>
                <w:t>新兴技术突破扫描：AI 前沿论文、专利申请、产业化进展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15">
              <w:r>
                <w:rPr>
                  <w:color w:val="1D5FD1"/>
                  <w:u w:val="single"/>
                  <w:b/>
                  <w:sz w:val="16"/>
                  <w:szCs w:val="16"/>
                  <w:rFonts w:ascii="Calibri" w:hAnsi="Calibri" w:eastAsia="Hiragino Sans GB"/>
                </w:rPr>
                <w:t>穿透城商行LGFV与地产敞口：信用压力是否触及资本红线并强制下调分红？</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16">
              <w:r>
                <w:rPr>
                  <w:color w:val="1D5FD1"/>
                  <w:u w:val="single"/>
                  <w:b/>
                  <w:sz w:val="16"/>
                  <w:szCs w:val="16"/>
                  <w:rFonts w:ascii="Calibri" w:hAnsi="Calibri" w:eastAsia="Hiragino Sans GB"/>
                </w:rPr>
                <w:t>投委会午间同步简报（2026-07-15）</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17">
              <w:r>
                <w:rPr>
                  <w:color w:val="1D5FD1"/>
                  <w:u w:val="single"/>
                  <w:b/>
                  <w:sz w:val="16"/>
                  <w:szCs w:val="16"/>
                  <w:rFonts w:ascii="Calibri" w:hAnsi="Calibri" w:eastAsia="Hiragino Sans GB"/>
                </w:rPr>
                <w:t>钢铁、水泥与电解铝技改 Capex 分化对大规模设备更新政策与绿色信贷增长的宏观传导测算报告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9">
              <w:r>
                <w:rPr>
                  <w:color w:val="1D5FD1"/>
                  <w:u w:val="single"/>
                  <w:b/>
                  <w:sz w:val="16"/>
                  <w:szCs w:val="16"/>
                  <w:rFonts w:ascii="Calibri" w:hAnsi="Calibri" w:eastAsia="Hiragino Sans GB"/>
                </w:rPr>
                <w:t>AI产业动态追踪</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18">
              <w:r>
                <w:rPr>
                  <w:color w:val="1D5FD1"/>
                  <w:u w:val="single"/>
                  <w:b/>
                  <w:sz w:val="16"/>
                  <w:szCs w:val="16"/>
                  <w:rFonts w:ascii="Calibri" w:hAnsi="Calibri" w:eastAsia="Hiragino Sans GB"/>
                </w:rPr>
                <w:t>食品加工产业链——被低覆盖的标的设置与跨链外溢风险</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19">
              <w:r>
                <w:rPr>
                  <w:color w:val="1D5FD1"/>
                  <w:u w:val="single"/>
                  <w:b/>
                  <w:sz w:val="16"/>
                  <w:szCs w:val="16"/>
                  <w:rFonts w:ascii="Calibri" w:hAnsi="Calibri" w:eastAsia="Hiragino Sans GB"/>
                </w:rPr>
                <w:t>银行红利可持续性压测：化债久期承接、NIM压缩与中证红利银行权重的轮出</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20">
              <w:r>
                <w:rPr>
                  <w:color w:val="1D5FD1"/>
                  <w:u w:val="single"/>
                  <w:b/>
                  <w:sz w:val="16"/>
                  <w:szCs w:val="16"/>
                  <w:rFonts w:ascii="Calibri" w:hAnsi="Calibri" w:eastAsia="Hiragino Sans GB"/>
                </w:rPr>
                <w:t>2026-07-15 前序研究：HBM良率溢价、AI基础设施CAPEX与电力预算压力测试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21">
              <w:r>
                <w:rPr>
                  <w:color w:val="1D5FD1"/>
                  <w:u w:val="single"/>
                  <w:b/>
                  <w:sz w:val="16"/>
                  <w:szCs w:val="16"/>
                  <w:rFonts w:ascii="Calibri" w:hAnsi="Calibri" w:eastAsia="Hiragino Sans GB"/>
                </w:rPr>
                <w:t>A股风格轮动与行业配置权重优化策略报告：传统地产信用出清与AI材料物理瓶颈交汇下的双向抉择</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22">
              <w:r>
                <w:rPr>
                  <w:color w:val="1D5FD1"/>
                  <w:u w:val="single"/>
                  <w:b/>
                  <w:sz w:val="16"/>
                  <w:szCs w:val="16"/>
                  <w:rFonts w:ascii="Calibri" w:hAnsi="Calibri" w:eastAsia="Hiragino Sans GB"/>
                </w:rPr>
                <w:t>隐含波动率飙升与券源稀缺下的场外期权对冲优化：002353 零成本领口期权条款设计与 Delta 动态对冲...</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23">
              <w:r>
                <w:rPr>
                  <w:color w:val="1D5FD1"/>
                  <w:u w:val="single"/>
                  <w:b/>
                  <w:sz w:val="16"/>
                  <w:szCs w:val="16"/>
                  <w:rFonts w:ascii="Calibri" w:hAnsi="Calibri" w:eastAsia="Hiragino Sans GB"/>
                </w:rPr>
                <w:t>酒店、餐馆与休闲产业链深度调研报告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support</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24">
              <w:r>
                <w:rPr>
                  <w:color w:val="1D5FD1"/>
                  <w:u w:val="single"/>
                  <w:b/>
                  <w:sz w:val="16"/>
                  <w:szCs w:val="16"/>
                  <w:rFonts w:ascii="Calibri" w:hAnsi="Calibri" w:eastAsia="Hiragino Sans GB"/>
                </w:rPr>
                <w:t>2026-07-15 压力测试：把 A股/H股先进封装材料订单映射到已送电 AI 节点</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25">
              <w:r>
                <w:rPr>
                  <w:color w:val="1D5FD1"/>
                  <w:u w:val="single"/>
                  <w:b/>
                  <w:sz w:val="16"/>
                  <w:szCs w:val="16"/>
                  <w:rFonts w:ascii="Calibri" w:hAnsi="Calibri" w:eastAsia="Hiragino Sans GB"/>
                </w:rPr>
                <w:t>国产存储产能释放与中游毛利复苏下的A股科技板块估值切换路径与风格轮动配置研究 (2026-07-15)</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36">
              <w:r>
                <w:rPr>
                  <w:color w:val="1D5FD1"/>
                  <w:u w:val="single"/>
                  <w:b/>
                  <w:sz w:val="16"/>
                  <w:szCs w:val="16"/>
                  <w:rFonts w:ascii="Calibri" w:hAnsi="Calibri" w:eastAsia="Hiragino Sans GB"/>
                </w:rPr>
                <w:t>美债熊陡与能源再通胀冲击下的大类资产配置：久期、风格与商品敞口的重新定位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26">
              <w:r>
                <w:rPr>
                  <w:color w:val="1D5FD1"/>
                  <w:u w:val="single"/>
                  <w:b/>
                  <w:sz w:val="16"/>
                  <w:szCs w:val="16"/>
                  <w:rFonts w:ascii="Calibri" w:hAnsi="Calibri" w:eastAsia="Hiragino Sans GB"/>
                </w:rPr>
                <w:t>2026-07-15 压力测试报告：算力扩张与电力约束博弈下 24% 优质硬件仓位的可行性评估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27">
              <w:r>
                <w:rPr>
                  <w:color w:val="1D5FD1"/>
                  <w:u w:val="single"/>
                  <w:b/>
                  <w:sz w:val="16"/>
                  <w:szCs w:val="16"/>
                  <w:rFonts w:ascii="Calibri" w:hAnsi="Calibri" w:eastAsia="Hiragino Sans GB"/>
                </w:rPr>
                <w:t>2026-07-15 因子卡：159992 / 515120 / 516080 有多少是真正的医药alpha，多少只是成长 / 创新药be...</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28">
              <w:r>
                <w:rPr>
                  <w:color w:val="1D5FD1"/>
                  <w:u w:val="single"/>
                  <w:b/>
                  <w:sz w:val="16"/>
                  <w:szCs w:val="16"/>
                  <w:rFonts w:ascii="Calibri" w:hAnsi="Calibri" w:eastAsia="Hiragino Sans GB"/>
                </w:rPr>
                <w:t>§1 THESIS</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29">
              <w:r>
                <w:rPr>
                  <w:color w:val="1D5FD1"/>
                  <w:u w:val="single"/>
                  <w:b/>
                  <w:sz w:val="16"/>
                  <w:szCs w:val="16"/>
                  <w:rFonts w:ascii="Calibri" w:hAnsi="Calibri" w:eastAsia="Hiragino Sans GB"/>
                </w:rPr>
                <w:t>2026-07-15 全球宏观研究记录03：美元更高更久与油价进口成本冲击下的人民币和中国资产</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30">
              <w:r>
                <w:rPr>
                  <w:color w:val="1D5FD1"/>
                  <w:u w:val="single"/>
                  <w:b/>
                  <w:sz w:val="16"/>
                  <w:szCs w:val="16"/>
                  <w:rFonts w:ascii="Calibri" w:hAnsi="Calibri" w:eastAsia="Hiragino Sans GB"/>
                </w:rPr>
                <w:t>食品加工产业链研究卡 — 2026-07-15</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31">
              <w:r>
                <w:rPr>
                  <w:color w:val="1D5FD1"/>
                  <w:u w:val="single"/>
                  <w:b/>
                  <w:sz w:val="16"/>
                  <w:szCs w:val="16"/>
                  <w:rFonts w:ascii="Calibri" w:hAnsi="Calibri" w:eastAsia="Hiragino Sans GB"/>
                </w:rPr>
                <w:t>拥挤、两融破3万亿后的risk-on盘面下，建材底部配置的市场结构择时门槛 — 2026-07-15</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32">
              <w:r>
                <w:rPr>
                  <w:color w:val="1D5FD1"/>
                  <w:u w:val="single"/>
                  <w:b/>
                  <w:sz w:val="16"/>
                  <w:szCs w:val="16"/>
                  <w:rFonts w:ascii="Calibri" w:hAnsi="Calibri" w:eastAsia="Hiragino Sans GB"/>
                </w:rPr>
                <w:t>重估 USD/JPY/CHF 对冲套袖权重与风险平价触发边界 — 2026-07-15</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33">
              <w:r>
                <w:rPr>
                  <w:color w:val="1D5FD1"/>
                  <w:u w:val="single"/>
                  <w:b/>
                  <w:sz w:val="16"/>
                  <w:szCs w:val="16"/>
                  <w:rFonts w:ascii="Calibri" w:hAnsi="Calibri" w:eastAsia="Hiragino Sans GB"/>
                </w:rPr>
                <w:t>2026-07-15 压力测试：电力与电网瓶颈成为 AI 算力材料兑现的物理闸门</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34">
              <w:r>
                <w:rPr>
                  <w:color w:val="1D5FD1"/>
                  <w:u w:val="single"/>
                  <w:b/>
                  <w:sz w:val="16"/>
                  <w:szCs w:val="16"/>
                  <w:rFonts w:ascii="Calibri" w:hAnsi="Calibri" w:eastAsia="Hiragino Sans GB"/>
                </w:rPr>
                <w:t>市场情绪与资金流快照</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35">
              <w:r>
                <w:rPr>
                  <w:color w:val="1D5FD1"/>
                  <w:u w:val="single"/>
                  <w:b/>
                  <w:sz w:val="16"/>
                  <w:szCs w:val="16"/>
                  <w:rFonts w:ascii="Calibri" w:hAnsi="Calibri" w:eastAsia="Hiragino Sans GB"/>
                </w:rPr>
                <w:t>7月成本核验后的A股食品加工袖珍仓位：守住4%-5%上限，现在就在仓位内部重新配权</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36">
              <w:r>
                <w:rPr>
                  <w:color w:val="1D5FD1"/>
                  <w:u w:val="single"/>
                  <w:b/>
                  <w:sz w:val="16"/>
                  <w:szCs w:val="16"/>
                  <w:rFonts w:ascii="Calibri" w:hAnsi="Calibri" w:eastAsia="Hiragino Sans GB"/>
                </w:rPr>
                <w:t>食品加工板块仓位触发与风格轮动</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37">
              <w:r>
                <w:rPr>
                  <w:color w:val="1D5FD1"/>
                  <w:u w:val="single"/>
                  <w:b/>
                  <w:sz w:val="16"/>
                  <w:szCs w:val="16"/>
                  <w:rFonts w:ascii="Calibri" w:hAnsi="Calibri" w:eastAsia="Hiragino Sans GB"/>
                </w:rPr>
                <w:t>A股“红利做底+硬科技弹性”哑铃组合在极端去杠杆与雪球敲入情景下的组合风险与VaR压力测试报告 (2...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38">
              <w:r>
                <w:rPr>
                  <w:color w:val="1D5FD1"/>
                  <w:u w:val="single"/>
                  <w:b/>
                  <w:sz w:val="16"/>
                  <w:szCs w:val="16"/>
                  <w:rFonts w:ascii="Calibri" w:hAnsi="Calibri" w:eastAsia="Hiragino Sans GB"/>
                </w:rPr>
                <w:t>两融红线监测与A股风格再平衡：去杠杆是否已转为轮动？</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39">
              <w:r>
                <w:rPr>
                  <w:color w:val="1D5FD1"/>
                  <w:u w:val="single"/>
                  <w:b/>
                  <w:sz w:val="16"/>
                  <w:szCs w:val="16"/>
                  <w:rFonts w:ascii="Calibri" w:hAnsi="Calibri" w:eastAsia="Hiragino Sans GB"/>
                </w:rPr>
                <w:t>主题轮动晨扫：跨行业制度切换信号</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40">
              <w:r>
                <w:rPr>
                  <w:color w:val="1D5FD1"/>
                  <w:u w:val="single"/>
                  <w:b/>
                  <w:sz w:val="16"/>
                  <w:szCs w:val="16"/>
                  <w:rFonts w:ascii="Calibri" w:hAnsi="Calibri" w:eastAsia="Hiragino Sans GB"/>
                </w:rPr>
                <w:t>公用事业午间同步简报（2026-07-15）</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41">
              <w:r>
                <w:rPr>
                  <w:color w:val="1D5FD1"/>
                  <w:u w:val="single"/>
                  <w:b/>
                  <w:sz w:val="16"/>
                  <w:szCs w:val="16"/>
                  <w:rFonts w:ascii="Calibri" w:hAnsi="Calibri" w:eastAsia="Hiragino Sans GB"/>
                </w:rPr>
                <w:t>AI债务与数据中心私募信贷的固定收益利差阈值：宏观到微观的压力测试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32">
              <w:r>
                <w:rPr>
                  <w:color w:val="1D5FD1"/>
                  <w:u w:val="single"/>
                  <w:b/>
                  <w:sz w:val="16"/>
                  <w:szCs w:val="16"/>
                  <w:rFonts w:ascii="Calibri" w:hAnsi="Calibri" w:eastAsia="Hiragino Sans GB"/>
                </w:rPr>
                <w:t>6月/H1消费数据与政策表述对食品加工仓位触发的再验证</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42">
              <w:r>
                <w:rPr>
                  <w:color w:val="1D5FD1"/>
                  <w:u w:val="single"/>
                  <w:b/>
                  <w:sz w:val="16"/>
                  <w:szCs w:val="16"/>
                  <w:rFonts w:ascii="Calibri" w:hAnsi="Calibri" w:eastAsia="Hiragino Sans GB"/>
                </w:rPr>
                <w:t>前序研究策略评估：2026-07-15 宏观数据落地后复核食品加工调仓触发条件</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43">
              <w:r>
                <w:rPr>
                  <w:color w:val="1D5FD1"/>
                  <w:u w:val="single"/>
                  <w:b/>
                  <w:sz w:val="16"/>
                  <w:szCs w:val="16"/>
                  <w:rFonts w:ascii="Calibri" w:hAnsi="Calibri" w:eastAsia="Hiragino Sans GB"/>
                </w:rPr>
                <w:t>食品加工产业链调研报告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44">
              <w:r>
                <w:rPr>
                  <w:color w:val="1D5FD1"/>
                  <w:u w:val="single"/>
                  <w:b/>
                  <w:sz w:val="16"/>
                  <w:szCs w:val="16"/>
                  <w:rFonts w:ascii="Calibri" w:hAnsi="Calibri" w:eastAsia="Hiragino Sans GB"/>
                </w:rPr>
                <w:t>医疗设备产业链拆分：县域医共体敞口与大型影像设备收入确认时滞分析</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80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2026-07-15</w:t>
            </w:r>
          </w:p>
        </w:tc>
        <w:tc>
          <w:tcPr>
            <w:tcW w:type="dxa" w:w="5940"/>
            <w:tcMar>
              <w:top w:w="80" w:type="dxa"/>
              <w:bottom w:w="80" w:type="dxa"/>
              <w:start w:w="120" w:type="dxa"/>
              <w:end w:w="120" w:type="dxa"/>
            </w:tcMar>
          </w:tcPr>
          <w:p>
            <w:pPr>
              <w:spacing w:after="20"/>
            </w:pPr>
            <w:hyperlink r:id="rId145">
              <w:r>
                <w:rPr>
                  <w:color w:val="1D5FD1"/>
                  <w:u w:val="single"/>
                  <w:b/>
                  <w:sz w:val="16"/>
                  <w:szCs w:val="16"/>
                  <w:rFonts w:ascii="Calibri" w:hAnsi="Calibri" w:eastAsia="Hiragino Sans GB"/>
                </w:rPr>
                <w:t>2026-07-15 综合合成：AI材料的工业闭环——理顺上游化学/冶金瓶颈与下游电网约束</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bl>
    <w:p>
      <w:pPr>
        <w:pStyle w:val="TableCitation"/>
      </w:pPr>
      <w:r>
        <w:t>来源账本来自同一周度发布合约；未引入私有运行记录、密钥或内部提示。</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Hiragino Sans GB"/>
        <w:b/>
        <w:color w:val="5E6268"/>
        <w:sz w:val="17"/>
      </w:rPr>
      <w:t xml:space="preserve">ADMIN RESEARCH PUBLICATION  ·  </w:t>
    </w:r>
    <w:r>
      <w:rPr>
        <w:rFonts w:ascii="Calibri" w:hAnsi="Calibri" w:eastAsia="Hiragino Sans GB"/>
        <w:color w:val="5E6268"/>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Hiragino Sans GB"/>
        <w:b/>
        <w:color w:val="5E6268"/>
        <w:sz w:val="17"/>
      </w:rPr>
      <w:t>AI INSTITUTE  /  WEEKLY RESEARCH  /  2026-W29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264" w:lineRule="auto"/>
    </w:pPr>
    <w:rPr>
      <w:rFonts w:ascii="Calibri" w:hAnsi="Calibri" w:eastAsia="Hiragino Sans GB"/>
      <w:b w:val="0"/>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Hiragino Sans GB"/>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Hiragino Sans GB"/>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Hiragino Sans GB"/>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itation">
    <w:name w:val="Table Citation"/>
    <w:pPr>
      <w:keepNext w:val="0"/>
      <w:spacing w:before="80" w:after="80" w:line="240" w:lineRule="auto"/>
    </w:pPr>
    <w:rPr>
      <w:rFonts w:ascii="Calibri" w:hAnsi="Calibri" w:eastAsia="Hiragino Sans GB"/>
      <w:b w:val="0"/>
      <w:color w:val="5E6268"/>
      <w:sz w:val="17"/>
    </w:rPr>
  </w:style>
  <w:style w:type="paragraph" w:customStyle="1" w:styleId="SectionLabel">
    <w:name w:val="Section Label"/>
    <w:pPr>
      <w:keepNext/>
      <w:spacing w:before="0" w:after="80" w:line="240" w:lineRule="auto"/>
    </w:pPr>
    <w:rPr>
      <w:rFonts w:ascii="Calibri" w:hAnsi="Calibri" w:eastAsia="Hiragino Sans GB"/>
      <w:b/>
      <w:color w:val="1D5FD1"/>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vibe-alpha-three.vercel.app/investor/panorama/2026-W29/" TargetMode="External"/><Relationship Id="rId12" Type="http://schemas.openxmlformats.org/officeDocument/2006/relationships/hyperlink" Target="https://vibe-alpha-three.vercel.app/investor/lanes/ai-compute-semiconductors/" TargetMode="External"/><Relationship Id="rId13" Type="http://schemas.openxmlformats.org/officeDocument/2006/relationships/hyperlink" Target="https://vibe-alpha-three.vercel.app/investor/lanes/oil-gas-and-geopolitical-inflation/" TargetMode="External"/><Relationship Id="rId14" Type="http://schemas.openxmlformats.org/officeDocument/2006/relationships/hyperlink" Target="https://vibe-alpha-three.vercel.app/investor/lanes/a-share-dividend-and-hard-tech-barbell/" TargetMode="External"/><Relationship Id="rId15" Type="http://schemas.openxmlformats.org/officeDocument/2006/relationships/hyperlink" Target="https://vibe-alpha-three.vercel.app/investor/lanes/hotels-restaurants-leisure-and-services-consumption/" TargetMode="External"/><Relationship Id="rId16" Type="http://schemas.openxmlformats.org/officeDocument/2006/relationships/hyperlink" Target="https://vibe-alpha-three.vercel.app/investor/lanes/ai-reflation-and-rate-sensitive-assets/" TargetMode="External"/><Relationship Id="rId17" Type="http://schemas.openxmlformats.org/officeDocument/2006/relationships/hyperlink" Target="https://vibe-alpha-three.vercel.app/investor/lanes/mag7-ai-platform-re-layering/" TargetMode="External"/><Relationship Id="rId18" Type="http://schemas.openxmlformats.org/officeDocument/2006/relationships/hyperlink" Target="https://vibe-alpha-three.vercel.app/investor/lanes/a-share-hard-tech-and-star50/" TargetMode="External"/><Relationship Id="rId19" Type="http://schemas.openxmlformats.org/officeDocument/2006/relationships/hyperlink" Target="https://vibe-alpha-three.vercel.app/investor/reports/archive-60e7fbd7dd93/" TargetMode="External"/><Relationship Id="rId20" Type="http://schemas.openxmlformats.org/officeDocument/2006/relationships/hyperlink" Target="https://vibe-alpha-three.vercel.app/investor/reports/archive-0b2a1e542de3/" TargetMode="External"/><Relationship Id="rId21" Type="http://schemas.openxmlformats.org/officeDocument/2006/relationships/hyperlink" Target="https://vibe-alpha-three.vercel.app/investor/reports/reader-daily-reader-2026-07-16/" TargetMode="External"/><Relationship Id="rId22" Type="http://schemas.openxmlformats.org/officeDocument/2006/relationships/hyperlink" Target="https://vibe-alpha-three.vercel.app/investor/theses/thesis-b976d8330e/" TargetMode="External"/><Relationship Id="rId23" Type="http://schemas.openxmlformats.org/officeDocument/2006/relationships/hyperlink" Target="https://vibe-alpha-three.vercel.app/investor/reports/archive-783e0bc394c9/" TargetMode="External"/><Relationship Id="rId24" Type="http://schemas.openxmlformats.org/officeDocument/2006/relationships/hyperlink" Target="https://vibe-alpha-three.vercel.app/investor/reports/archive-57744ae7de6d/" TargetMode="External"/><Relationship Id="rId25" Type="http://schemas.openxmlformats.org/officeDocument/2006/relationships/hyperlink" Target="https://vibe-alpha-three.vercel.app/investor/theses/thesis-d8170c3a35/" TargetMode="External"/><Relationship Id="rId26" Type="http://schemas.openxmlformats.org/officeDocument/2006/relationships/hyperlink" Target="https://vibe-alpha-three.vercel.app/investor/reports/archive-38cf997b87b5/" TargetMode="External"/><Relationship Id="rId27" Type="http://schemas.openxmlformats.org/officeDocument/2006/relationships/hyperlink" Target="https://vibe-alpha-three.vercel.app/investor/reports/archive-6a9c22bf092d/" TargetMode="External"/><Relationship Id="rId28" Type="http://schemas.openxmlformats.org/officeDocument/2006/relationships/hyperlink" Target="https://vibe-alpha-three.vercel.app/investor/reports/archive-12d99fecc9cb/" TargetMode="External"/><Relationship Id="rId29" Type="http://schemas.openxmlformats.org/officeDocument/2006/relationships/hyperlink" Target="https://vibe-alpha-three.vercel.app/investor/theses/thesis-70daf87262/" TargetMode="External"/><Relationship Id="rId30" Type="http://schemas.openxmlformats.org/officeDocument/2006/relationships/hyperlink" Target="https://vibe-alpha-three.vercel.app/investor/reports/archive-6ff38bbb1d51/" TargetMode="External"/><Relationship Id="rId31" Type="http://schemas.openxmlformats.org/officeDocument/2006/relationships/hyperlink" Target="https://vibe-alpha-three.vercel.app/investor/reports/archive-d75096375b86/" TargetMode="External"/><Relationship Id="rId32" Type="http://schemas.openxmlformats.org/officeDocument/2006/relationships/hyperlink" Target="https://vibe-alpha-three.vercel.app/investor/reports/archive-3ac40825b1b4/" TargetMode="External"/><Relationship Id="rId33" Type="http://schemas.openxmlformats.org/officeDocument/2006/relationships/hyperlink" Target="https://vibe-alpha-three.vercel.app/investor/theses/thesis-c89650af9e/" TargetMode="External"/><Relationship Id="rId34" Type="http://schemas.openxmlformats.org/officeDocument/2006/relationships/hyperlink" Target="https://vibe-alpha-three.vercel.app/investor/reports/archive-6b958becb34f/" TargetMode="External"/><Relationship Id="rId35" Type="http://schemas.openxmlformats.org/officeDocument/2006/relationships/hyperlink" Target="https://vibe-alpha-three.vercel.app/investor/reports/archive-60a06a7c4346/" TargetMode="External"/><Relationship Id="rId36" Type="http://schemas.openxmlformats.org/officeDocument/2006/relationships/hyperlink" Target="https://vibe-alpha-three.vercel.app/investor/reports/archive-09f0db6b6729/" TargetMode="External"/><Relationship Id="rId37" Type="http://schemas.openxmlformats.org/officeDocument/2006/relationships/hyperlink" Target="https://vibe-alpha-three.vercel.app/investor/theses/thesis-075017003b/" TargetMode="External"/><Relationship Id="rId38" Type="http://schemas.openxmlformats.org/officeDocument/2006/relationships/hyperlink" Target="https://vibe-alpha-three.vercel.app/investor/reports/archive-66b5b3681e7b/" TargetMode="External"/><Relationship Id="rId39" Type="http://schemas.openxmlformats.org/officeDocument/2006/relationships/hyperlink" Target="https://vibe-alpha-three.vercel.app/investor/reports/archive-4b6782ef3698/" TargetMode="External"/><Relationship Id="rId40" Type="http://schemas.openxmlformats.org/officeDocument/2006/relationships/hyperlink" Target="https://vibe-alpha-three.vercel.app/investor/theses/thesis-8c5a9690a0/" TargetMode="External"/><Relationship Id="rId41" Type="http://schemas.openxmlformats.org/officeDocument/2006/relationships/hyperlink" Target="https://vibe-alpha-three.vercel.app/investor/reports/archive-21045342eed5/" TargetMode="External"/><Relationship Id="rId42" Type="http://schemas.openxmlformats.org/officeDocument/2006/relationships/hyperlink" Target="https://vibe-alpha-three.vercel.app/investor/theses/thesis-603a5f7966/" TargetMode="External"/><Relationship Id="rId43" Type="http://schemas.openxmlformats.org/officeDocument/2006/relationships/hyperlink" Target="https://vibe-alpha-three.vercel.app/investor/stocks/NVDA/" TargetMode="External"/><Relationship Id="rId44" Type="http://schemas.openxmlformats.org/officeDocument/2006/relationships/hyperlink" Target="https://vibe-alpha-three.vercel.app/investor/stocks/TSM/" TargetMode="External"/><Relationship Id="rId45" Type="http://schemas.openxmlformats.org/officeDocument/2006/relationships/hyperlink" Target="https://vibe-alpha-three.vercel.app/investor/stocks/MU/" TargetMode="External"/><Relationship Id="rId46" Type="http://schemas.openxmlformats.org/officeDocument/2006/relationships/hyperlink" Target="https://vibe-alpha-three.vercel.app/investor/stocks/000660.KS/" TargetMode="External"/><Relationship Id="rId47" Type="http://schemas.openxmlformats.org/officeDocument/2006/relationships/hyperlink" Target="https://vibe-alpha-three.vercel.app/investor/stocks/AVGO/" TargetMode="External"/><Relationship Id="rId48" Type="http://schemas.openxmlformats.org/officeDocument/2006/relationships/hyperlink" Target="https://vibe-alpha-three.vercel.app/investor/stocks/GEV/" TargetMode="External"/><Relationship Id="rId49" Type="http://schemas.openxmlformats.org/officeDocument/2006/relationships/hyperlink" Target="https://vibe-alpha-three.vercel.app/investor/stocks/ETN/" TargetMode="External"/><Relationship Id="rId50" Type="http://schemas.openxmlformats.org/officeDocument/2006/relationships/hyperlink" Target="https://vibe-alpha-three.vercel.app/investor/stocks/VST/" TargetMode="External"/><Relationship Id="rId51" Type="http://schemas.openxmlformats.org/officeDocument/2006/relationships/hyperlink" Target="https://vibe-alpha-three.vercel.app/investor/stocks/CEG/" TargetMode="External"/><Relationship Id="rId52" Type="http://schemas.openxmlformats.org/officeDocument/2006/relationships/hyperlink" Target="https://vibe-alpha-three.vercel.app/investor/stocks/002028.SZ/" TargetMode="External"/><Relationship Id="rId53" Type="http://schemas.openxmlformats.org/officeDocument/2006/relationships/hyperlink" Target="https://vibe-alpha-three.vercel.app/investor/stocks/600089.SH/" TargetMode="External"/><Relationship Id="rId54" Type="http://schemas.openxmlformats.org/officeDocument/2006/relationships/hyperlink" Target="https://vibe-alpha-three.vercel.app/investor/stocks/600900.SH/" TargetMode="External"/><Relationship Id="rId55" Type="http://schemas.openxmlformats.org/officeDocument/2006/relationships/hyperlink" Target="https://vibe-alpha-three.vercel.app/investor/stocks/601398.SH/" TargetMode="External"/><Relationship Id="rId56" Type="http://schemas.openxmlformats.org/officeDocument/2006/relationships/hyperlink" Target="https://vibe-alpha-three.vercel.app/investor/stocks/601088.SH/" TargetMode="External"/><Relationship Id="rId57" Type="http://schemas.openxmlformats.org/officeDocument/2006/relationships/hyperlink" Target="https://vibe-alpha-three.vercel.app/investor/stocks/588000.SH/" TargetMode="External"/><Relationship Id="rId58" Type="http://schemas.openxmlformats.org/officeDocument/2006/relationships/hyperlink" Target="https://vibe-alpha-three.vercel.app/investor/stocks/688981.SH/" TargetMode="External"/><Relationship Id="rId59" Type="http://schemas.openxmlformats.org/officeDocument/2006/relationships/hyperlink" Target="https://vibe-alpha-three.vercel.app/investor/stocks/688256.SH/" TargetMode="External"/><Relationship Id="rId60" Type="http://schemas.openxmlformats.org/officeDocument/2006/relationships/hyperlink" Target="https://vibe-alpha-three.vercel.app/investor/stocks/3690.HK/" TargetMode="External"/><Relationship Id="rId61" Type="http://schemas.openxmlformats.org/officeDocument/2006/relationships/hyperlink" Target="https://vibe-alpha-three.vercel.app/investor/stocks/YUMC/" TargetMode="External"/><Relationship Id="rId62" Type="http://schemas.openxmlformats.org/officeDocument/2006/relationships/hyperlink" Target="https://vibe-alpha-three.vercel.app/investor/stocks/1179.HK/" TargetMode="External"/><Relationship Id="rId63" Type="http://schemas.openxmlformats.org/officeDocument/2006/relationships/hyperlink" Target="https://vibe-alpha-three.vercel.app/investor/stocks/600754.SH/" TargetMode="External"/><Relationship Id="rId64" Type="http://schemas.openxmlformats.org/officeDocument/2006/relationships/hyperlink" Target="https://vibe-alpha-three.vercel.app/investor/stocks/0883.HK/" TargetMode="External"/><Relationship Id="rId65" Type="http://schemas.openxmlformats.org/officeDocument/2006/relationships/hyperlink" Target="https://vibe-alpha-three.vercel.app/investor/stocks/CVX/" TargetMode="External"/><Relationship Id="rId66" Type="http://schemas.openxmlformats.org/officeDocument/2006/relationships/hyperlink" Target="https://vibe-alpha-three.vercel.app/investor/stocks/XOM/" TargetMode="External"/><Relationship Id="rId67" Type="http://schemas.openxmlformats.org/officeDocument/2006/relationships/hyperlink" Target="https://vibe-alpha-three.vercel.app/investor/stocks/SLB/" TargetMode="External"/><Relationship Id="rId68" Type="http://schemas.openxmlformats.org/officeDocument/2006/relationships/hyperlink" Target="https://vibe-alpha-three.vercel.app/investor/stocks/601808.SH/" TargetMode="External"/><Relationship Id="rId69" Type="http://schemas.openxmlformats.org/officeDocument/2006/relationships/hyperlink" Target="https://vibe-alpha-three.vercel.app/investor/stocks/MSFT/" TargetMode="External"/><Relationship Id="rId70" Type="http://schemas.openxmlformats.org/officeDocument/2006/relationships/hyperlink" Target="https://vibe-alpha-three.vercel.app/investor/stocks/META/" TargetMode="External"/><Relationship Id="rId71" Type="http://schemas.openxmlformats.org/officeDocument/2006/relationships/hyperlink" Target="https://vibe-alpha-three.vercel.app/investor/stocks/AMZN/" TargetMode="External"/><Relationship Id="rId72" Type="http://schemas.openxmlformats.org/officeDocument/2006/relationships/hyperlink" Target="https://vibe-alpha-three.vercel.app/investor/stocks/GOOGL/" TargetMode="External"/><Relationship Id="rId73" Type="http://schemas.openxmlformats.org/officeDocument/2006/relationships/hyperlink" Target="https://vibe-alpha-three.vercel.app/investor/stocks/AAPL/" TargetMode="External"/><Relationship Id="rId74" Type="http://schemas.openxmlformats.org/officeDocument/2006/relationships/hyperlink" Target="https://vibe-alpha-three.vercel.app/investor/lanes/rmb-dollar-and-liquidity-sensitive-assets/" TargetMode="External"/><Relationship Id="rId75" Type="http://schemas.openxmlformats.org/officeDocument/2006/relationships/hyperlink" Target="https://vibe-alpha-three.vercel.app/investor/lanes/us-rates-and-dollar-repricing/" TargetMode="External"/><Relationship Id="rId76" Type="http://schemas.openxmlformats.org/officeDocument/2006/relationships/hyperlink" Target="https://vibe-alpha-three.vercel.app/investor/lanes/advanced-packaging-and-hbm4-gate/" TargetMode="External"/><Relationship Id="rId77" Type="http://schemas.openxmlformats.org/officeDocument/2006/relationships/hyperlink" Target="https://vibe-alpha-three.vercel.app/investor/lanes/ai-power-and-grid-equipment/" TargetMode="External"/><Relationship Id="rId78" Type="http://schemas.openxmlformats.org/officeDocument/2006/relationships/hyperlink" Target="https://vibe-alpha-three.vercel.app/investor/lanes/a-share-semiconductor-margin-and-negative-gamma/" TargetMode="External"/><Relationship Id="rId79" Type="http://schemas.openxmlformats.org/officeDocument/2006/relationships/hyperlink" Target="https://vibe-alpha-three.vercel.app/investor/lanes/utilities-grid-rate-base-and-credit/" TargetMode="External"/><Relationship Id="rId80" Type="http://schemas.openxmlformats.org/officeDocument/2006/relationships/hyperlink" Target="https://vibe-alpha-three.vercel.app/investor/lanes/china-healthcare-and-overseas-innovation-drug-monetization/" TargetMode="External"/><Relationship Id="rId81" Type="http://schemas.openxmlformats.org/officeDocument/2006/relationships/hyperlink" Target="https://vibe-alpha-three.vercel.app/investor/lanes/a-share-risk-appetite-and-margin/" TargetMode="External"/><Relationship Id="rId82" Type="http://schemas.openxmlformats.org/officeDocument/2006/relationships/hyperlink" Target="https://vibe-alpha-three.vercel.app/investor/lanes/food-processing-and-input-cost-transmission/" TargetMode="External"/><Relationship Id="rId83" Type="http://schemas.openxmlformats.org/officeDocument/2006/relationships/hyperlink" Target="https://vibe-alpha-three.vercel.app/investor/reports/archive-02aac0c31015/" TargetMode="External"/><Relationship Id="rId84" Type="http://schemas.openxmlformats.org/officeDocument/2006/relationships/hyperlink" Target="https://vibe-alpha-three.vercel.app/investor/reports/archive-ef1401d98cac/" TargetMode="External"/><Relationship Id="rId85" Type="http://schemas.openxmlformats.org/officeDocument/2006/relationships/hyperlink" Target="https://vibe-alpha-three.vercel.app/investor/reports/archive-9fa62835504e/" TargetMode="External"/><Relationship Id="rId86" Type="http://schemas.openxmlformats.org/officeDocument/2006/relationships/hyperlink" Target="https://vibe-alpha-three.vercel.app/investor/reports/archive-d1e1070dbf49/" TargetMode="External"/><Relationship Id="rId87" Type="http://schemas.openxmlformats.org/officeDocument/2006/relationships/hyperlink" Target="https://vibe-alpha-three.vercel.app/investor/reports/archive-a8952bbe741b/" TargetMode="External"/><Relationship Id="rId88" Type="http://schemas.openxmlformats.org/officeDocument/2006/relationships/hyperlink" Target="https://vibe-alpha-three.vercel.app/investor/reports/archive-2f189b3552fc/" TargetMode="External"/><Relationship Id="rId89" Type="http://schemas.openxmlformats.org/officeDocument/2006/relationships/hyperlink" Target="https://vibe-alpha-three.vercel.app/investor/reports/archive-99358865c90e/" TargetMode="External"/><Relationship Id="rId90" Type="http://schemas.openxmlformats.org/officeDocument/2006/relationships/hyperlink" Target="https://vibe-alpha-three.vercel.app/investor/reports/archive-33c388d170cf/" TargetMode="External"/><Relationship Id="rId91" Type="http://schemas.openxmlformats.org/officeDocument/2006/relationships/hyperlink" Target="https://vibe-alpha-three.vercel.app/investor/reports/archive-f04214d07e32/" TargetMode="External"/><Relationship Id="rId92" Type="http://schemas.openxmlformats.org/officeDocument/2006/relationships/hyperlink" Target="https://vibe-alpha-three.vercel.app/investor/reports/archive-e4280a6981ae/" TargetMode="External"/><Relationship Id="rId93" Type="http://schemas.openxmlformats.org/officeDocument/2006/relationships/hyperlink" Target="https://vibe-alpha-three.vercel.app/investor/reports/archive-6c6cdb470e33/" TargetMode="External"/><Relationship Id="rId94" Type="http://schemas.openxmlformats.org/officeDocument/2006/relationships/hyperlink" Target="https://vibe-alpha-three.vercel.app/investor/reports/archive-9530d1b57022/" TargetMode="External"/><Relationship Id="rId95" Type="http://schemas.openxmlformats.org/officeDocument/2006/relationships/hyperlink" Target="https://vibe-alpha-three.vercel.app/investor/reports/archive-a509999ec875/" TargetMode="External"/><Relationship Id="rId96" Type="http://schemas.openxmlformats.org/officeDocument/2006/relationships/hyperlink" Target="https://vibe-alpha-three.vercel.app/investor/reports/archive-45ac9dc41118/" TargetMode="External"/><Relationship Id="rId97" Type="http://schemas.openxmlformats.org/officeDocument/2006/relationships/hyperlink" Target="https://vibe-alpha-three.vercel.app/investor/reports/archive-4db08ead069b/" TargetMode="External"/><Relationship Id="rId98" Type="http://schemas.openxmlformats.org/officeDocument/2006/relationships/hyperlink" Target="https://vibe-alpha-three.vercel.app/investor/reports/archive-6f1d4ff74ad5/" TargetMode="External"/><Relationship Id="rId99" Type="http://schemas.openxmlformats.org/officeDocument/2006/relationships/hyperlink" Target="https://vibe-alpha-three.vercel.app/investor/reports/archive-5d84ad50e0fb/" TargetMode="External"/><Relationship Id="rId100" Type="http://schemas.openxmlformats.org/officeDocument/2006/relationships/hyperlink" Target="https://vibe-alpha-three.vercel.app/investor/reports/archive-34dc169d2ae8/" TargetMode="External"/><Relationship Id="rId101" Type="http://schemas.openxmlformats.org/officeDocument/2006/relationships/hyperlink" Target="https://vibe-alpha-three.vercel.app/investor/reports/archive-c3ad6649eda4/" TargetMode="External"/><Relationship Id="rId102" Type="http://schemas.openxmlformats.org/officeDocument/2006/relationships/hyperlink" Target="https://vibe-alpha-three.vercel.app/investor/reports/archive-d206941991f4/" TargetMode="External"/><Relationship Id="rId103" Type="http://schemas.openxmlformats.org/officeDocument/2006/relationships/hyperlink" Target="https://vibe-alpha-three.vercel.app/investor/reports/archive-3b3d5f7f7f17/" TargetMode="External"/><Relationship Id="rId104" Type="http://schemas.openxmlformats.org/officeDocument/2006/relationships/hyperlink" Target="https://vibe-alpha-three.vercel.app/investor/reports/archive-62907ad6e0e8/" TargetMode="External"/><Relationship Id="rId105" Type="http://schemas.openxmlformats.org/officeDocument/2006/relationships/hyperlink" Target="https://vibe-alpha-three.vercel.app/investor/reports/archive-3a4696ae5842/" TargetMode="External"/><Relationship Id="rId106" Type="http://schemas.openxmlformats.org/officeDocument/2006/relationships/hyperlink" Target="https://vibe-alpha-three.vercel.app/investor/reports/archive-0b374fcfb632/" TargetMode="External"/><Relationship Id="rId107" Type="http://schemas.openxmlformats.org/officeDocument/2006/relationships/hyperlink" Target="https://vibe-alpha-three.vercel.app/investor/reports/archive-3b0a21d2c832/" TargetMode="External"/><Relationship Id="rId108" Type="http://schemas.openxmlformats.org/officeDocument/2006/relationships/hyperlink" Target="https://vibe-alpha-three.vercel.app/investor/reports/archive-638c18c5c405/" TargetMode="External"/><Relationship Id="rId109" Type="http://schemas.openxmlformats.org/officeDocument/2006/relationships/hyperlink" Target="https://vibe-alpha-three.vercel.app/investor/reports/archive-0ad29f20ca04/" TargetMode="External"/><Relationship Id="rId110" Type="http://schemas.openxmlformats.org/officeDocument/2006/relationships/hyperlink" Target="https://vibe-alpha-three.vercel.app/investor/reports/archive-ffcf750bf63b/" TargetMode="External"/><Relationship Id="rId111" Type="http://schemas.openxmlformats.org/officeDocument/2006/relationships/hyperlink" Target="https://vibe-alpha-three.vercel.app/investor/reports/archive-24d8a377541d/" TargetMode="External"/><Relationship Id="rId112" Type="http://schemas.openxmlformats.org/officeDocument/2006/relationships/hyperlink" Target="https://vibe-alpha-three.vercel.app/investor/reports/archive-8723076be074/" TargetMode="External"/><Relationship Id="rId113" Type="http://schemas.openxmlformats.org/officeDocument/2006/relationships/hyperlink" Target="https://vibe-alpha-three.vercel.app/investor/reports/archive-bfee1c70266b/" TargetMode="External"/><Relationship Id="rId114" Type="http://schemas.openxmlformats.org/officeDocument/2006/relationships/hyperlink" Target="https://vibe-alpha-three.vercel.app/investor/reports/archive-671f14389f22/" TargetMode="External"/><Relationship Id="rId115" Type="http://schemas.openxmlformats.org/officeDocument/2006/relationships/hyperlink" Target="https://vibe-alpha-three.vercel.app/investor/reports/archive-40fde6da2b5d/" TargetMode="External"/><Relationship Id="rId116" Type="http://schemas.openxmlformats.org/officeDocument/2006/relationships/hyperlink" Target="https://vibe-alpha-three.vercel.app/investor/reports/archive-69234480b46c/" TargetMode="External"/><Relationship Id="rId117" Type="http://schemas.openxmlformats.org/officeDocument/2006/relationships/hyperlink" Target="https://vibe-alpha-three.vercel.app/investor/reports/archive-a977ad8abcf5/" TargetMode="External"/><Relationship Id="rId118" Type="http://schemas.openxmlformats.org/officeDocument/2006/relationships/hyperlink" Target="https://vibe-alpha-three.vercel.app/investor/reports/archive-a6a33e99d87a/" TargetMode="External"/><Relationship Id="rId119" Type="http://schemas.openxmlformats.org/officeDocument/2006/relationships/hyperlink" Target="https://vibe-alpha-three.vercel.app/investor/reports/archive-1384cab28b0d/" TargetMode="External"/><Relationship Id="rId120" Type="http://schemas.openxmlformats.org/officeDocument/2006/relationships/hyperlink" Target="https://vibe-alpha-three.vercel.app/investor/reports/archive-79b3d8432ae2/" TargetMode="External"/><Relationship Id="rId121" Type="http://schemas.openxmlformats.org/officeDocument/2006/relationships/hyperlink" Target="https://vibe-alpha-three.vercel.app/investor/reports/archive-99235ea8808e/" TargetMode="External"/><Relationship Id="rId122" Type="http://schemas.openxmlformats.org/officeDocument/2006/relationships/hyperlink" Target="https://vibe-alpha-three.vercel.app/investor/reports/archive-3561eb106a98/" TargetMode="External"/><Relationship Id="rId123" Type="http://schemas.openxmlformats.org/officeDocument/2006/relationships/hyperlink" Target="https://vibe-alpha-three.vercel.app/investor/reports/archive-abb3ae67a36b/" TargetMode="External"/><Relationship Id="rId124" Type="http://schemas.openxmlformats.org/officeDocument/2006/relationships/hyperlink" Target="https://vibe-alpha-three.vercel.app/investor/reports/archive-deec21f81949/" TargetMode="External"/><Relationship Id="rId125" Type="http://schemas.openxmlformats.org/officeDocument/2006/relationships/hyperlink" Target="https://vibe-alpha-three.vercel.app/investor/reports/archive-22ebfcc7d56b/" TargetMode="External"/><Relationship Id="rId126" Type="http://schemas.openxmlformats.org/officeDocument/2006/relationships/hyperlink" Target="https://vibe-alpha-three.vercel.app/investor/reports/archive-07c3fede4328/" TargetMode="External"/><Relationship Id="rId127" Type="http://schemas.openxmlformats.org/officeDocument/2006/relationships/hyperlink" Target="https://vibe-alpha-three.vercel.app/investor/reports/archive-d914127ba9c3/" TargetMode="External"/><Relationship Id="rId128" Type="http://schemas.openxmlformats.org/officeDocument/2006/relationships/hyperlink" Target="https://vibe-alpha-three.vercel.app/investor/reports/archive-7db5e5787d1d/" TargetMode="External"/><Relationship Id="rId129" Type="http://schemas.openxmlformats.org/officeDocument/2006/relationships/hyperlink" Target="https://vibe-alpha-three.vercel.app/investor/reports/archive-dff6b262938b/" TargetMode="External"/><Relationship Id="rId130" Type="http://schemas.openxmlformats.org/officeDocument/2006/relationships/hyperlink" Target="https://vibe-alpha-three.vercel.app/investor/reports/archive-30529868dcbe/" TargetMode="External"/><Relationship Id="rId131" Type="http://schemas.openxmlformats.org/officeDocument/2006/relationships/hyperlink" Target="https://vibe-alpha-three.vercel.app/investor/reports/archive-4b600109959d/" TargetMode="External"/><Relationship Id="rId132" Type="http://schemas.openxmlformats.org/officeDocument/2006/relationships/hyperlink" Target="https://vibe-alpha-three.vercel.app/investor/reports/archive-b4488b1b07dc/" TargetMode="External"/><Relationship Id="rId133" Type="http://schemas.openxmlformats.org/officeDocument/2006/relationships/hyperlink" Target="https://vibe-alpha-three.vercel.app/investor/reports/archive-09d772dd76f0/" TargetMode="External"/><Relationship Id="rId134" Type="http://schemas.openxmlformats.org/officeDocument/2006/relationships/hyperlink" Target="https://vibe-alpha-three.vercel.app/investor/reports/archive-364410b8adcc/" TargetMode="External"/><Relationship Id="rId135" Type="http://schemas.openxmlformats.org/officeDocument/2006/relationships/hyperlink" Target="https://vibe-alpha-three.vercel.app/investor/reports/archive-88dbc3b0aee8/" TargetMode="External"/><Relationship Id="rId136" Type="http://schemas.openxmlformats.org/officeDocument/2006/relationships/hyperlink" Target="https://vibe-alpha-three.vercel.app/investor/reports/archive-38deed8396c1/" TargetMode="External"/><Relationship Id="rId137" Type="http://schemas.openxmlformats.org/officeDocument/2006/relationships/hyperlink" Target="https://vibe-alpha-three.vercel.app/investor/reports/archive-706115803f24/" TargetMode="External"/><Relationship Id="rId138" Type="http://schemas.openxmlformats.org/officeDocument/2006/relationships/hyperlink" Target="https://vibe-alpha-three.vercel.app/investor/reports/archive-ac2b4ed51542/" TargetMode="External"/><Relationship Id="rId139" Type="http://schemas.openxmlformats.org/officeDocument/2006/relationships/hyperlink" Target="https://vibe-alpha-three.vercel.app/investor/reports/archive-d5ee157c7a62/" TargetMode="External"/><Relationship Id="rId140" Type="http://schemas.openxmlformats.org/officeDocument/2006/relationships/hyperlink" Target="https://vibe-alpha-three.vercel.app/investor/reports/archive-9f90d145aaaf/" TargetMode="External"/><Relationship Id="rId141" Type="http://schemas.openxmlformats.org/officeDocument/2006/relationships/hyperlink" Target="https://vibe-alpha-three.vercel.app/investor/reports/archive-64bf0ee146ca/" TargetMode="External"/><Relationship Id="rId142" Type="http://schemas.openxmlformats.org/officeDocument/2006/relationships/hyperlink" Target="https://vibe-alpha-three.vercel.app/investor/reports/archive-745beda49295/" TargetMode="External"/><Relationship Id="rId143" Type="http://schemas.openxmlformats.org/officeDocument/2006/relationships/hyperlink" Target="https://vibe-alpha-three.vercel.app/investor/reports/archive-86f97be912de/" TargetMode="External"/><Relationship Id="rId144" Type="http://schemas.openxmlformats.org/officeDocument/2006/relationships/hyperlink" Target="https://vibe-alpha-three.vercel.app/investor/reports/archive-4c5f818b214c/" TargetMode="External"/><Relationship Id="rId145" Type="http://schemas.openxmlformats.org/officeDocument/2006/relationships/hyperlink" Target="https://vibe-alpha-three.vercel.app/investor/reports/archive-003f088e17a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2026-W29｜削减单一算力与地缘贝塔，保留电力链和A股杠铃的条件性敞口</dc:title>
  <dc:subject>AI Institute weekly research report 2026-W29</dc:subject>
  <dc:creator>AI Institute</dc:creator>
  <cp:keywords>AI Institute, weekly research, investment research</cp:keywords>
  <dc:description>generated by python-docx</dc:description>
  <cp:lastModifiedBy/>
  <cp:revision>1</cp:revision>
  <dcterms:created xsi:type="dcterms:W3CDTF">2013-12-23T23:15:00Z</dcterms:created>
  <dcterms:modified xsi:type="dcterms:W3CDTF">2013-12-23T23:15:00Z</dcterms:modified>
  <cp:category/>
</cp:coreProperties>
</file>