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2026-06-05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2026-06-05 共纳入 1 篇中文研究结果，覆盖 0 位活跃分析师和 2 条主要行业链，较 2026-06-04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2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5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2026-06-05 前统一事件窗口执行手册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通胀 今日 降温，当日计数 1，前一日计数 333。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电力与电网：算力瓶颈压力测试：电网传输与并网队列的真实时滞。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2">
        <w:r>
          <w:rPr>
            <w:color w:val="285B9D"/>
            <w:u w:val="single"/>
            <w:rFonts w:eastAsia="Heiti TC" w:ascii="Calibri" w:hAnsi="Calibri"/>
          </w:rPr>
          <w:t>宏观通胀传导 今日 1 条、近七日 1599 条，风险信号 1081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5-web-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5-web-chai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5-web-ri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5-web-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2026-06-05 前统一事件窗口执行手册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37.3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板块: 572c9237-cf21-4d19-8f37-a9858dd88f7a - 研究记录（综合收尾） - 分析师: 首席策略师 (chief-strategist) - 作业日期: 2026-05-29 （Asia/Singapore） - 立场: synthesize — 把 prior r...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reports/archive-a5b4e69303f4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算力瓶颈压力测试：电网传输与并网队列的真实时滞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reports/archive-5166d41eec14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压力测试：电力设备交付延迟与成本上升对AI算力中心“成本回收”的冲击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2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8">
        <w:r>
          <w:rPr>
            <w:color w:val="285B9D"/>
            <w:u w:val="single"/>
            <w:rFonts w:eastAsia="Heiti TC" w:ascii="Calibri" w:hAnsi="Calibri"/>
          </w:rPr>
          <w:t>reports/archive-035608ac057a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变压器与开关柜瓶颈：AI数据中心的节奏将由硅钢卷而非硅晶圆决定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reports/archive-1ba0209b8947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2026-06-05 前统一事件窗口执行手册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37.3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a5b4e69303f4" TargetMode="External"/><Relationship Id="rId13" Type="http://schemas.openxmlformats.org/officeDocument/2006/relationships/hyperlink" Target="reports/archive-5166d41eec14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reports/archive-035608ac057a" TargetMode="External"/><Relationship Id="rId19" Type="http://schemas.openxmlformats.org/officeDocument/2006/relationships/hyperlink" Target="reports/archive-1ba0209b89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2026-06-05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