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360"/>
        <w:jc w:val="center"/>
      </w:pPr>
      <w:r>
        <w:rPr>
          <w:rFonts w:ascii="Calibri" w:hAnsi="Calibri" w:eastAsia="Hiragino Sans GB"/>
          <w:b/>
          <w:color w:val="D85B16"/>
          <w:sz w:val="18"/>
        </w:rPr>
        <w:t>AI INSTITUTE · WEEKLY RESEARCH</w:t>
      </w:r>
    </w:p>
    <w:p>
      <w:pPr>
        <w:spacing w:after="160"/>
        <w:jc w:val="center"/>
      </w:pPr>
      <w:r>
        <w:rPr>
          <w:rFonts w:ascii="Calibri" w:hAnsi="Calibri" w:eastAsia="Hiragino Sans GB"/>
          <w:b/>
          <w:color w:val="111111"/>
          <w:sz w:val="60"/>
        </w:rPr>
        <w:t>AI Institute 周度研究报告</w:t>
      </w:r>
    </w:p>
    <w:p>
      <w:pPr>
        <w:spacing w:after="480"/>
        <w:jc w:val="center"/>
      </w:pPr>
      <w:r>
        <w:rPr>
          <w:rFonts w:ascii="Calibri" w:hAnsi="Calibri" w:eastAsia="Hiragino Sans GB"/>
          <w:b/>
          <w:color w:val="5E6268"/>
          <w:sz w:val="28"/>
        </w:rPr>
        <w:t>2026年第28周：守住杠铃，收缩地缘暴露，等待订单与资本开支确认</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2340"/>
        <w:gridCol w:w="2340"/>
        <w:gridCol w:w="2340"/>
        <w:gridCol w:w="2340"/>
      </w:tblGrid>
      <w:tr>
        <w:trPr>
          <w:cantSplit/>
        </w:trPr>
        <w:tc>
          <w:tcPr>
            <w:tcW w:type="dxa" w:w="2340"/>
            <w:tcMar>
              <w:top w:w="80" w:type="dxa"/>
              <w:bottom w:w="80" w:type="dxa"/>
              <w:start w:w="120" w:type="dxa"/>
              <w:end w:w="120" w:type="dxa"/>
            </w:tcMar>
            <w:vAlign w:val="top"/>
            <w:shd w:fill="F2F4F7"/>
          </w:tcPr>
          <w:p>
            <w:pPr>
              <w:spacing w:after="40"/>
              <w:jc w:val="center"/>
            </w:pPr>
            <w:r>
              <w:rPr>
                <w:rFonts w:ascii="Calibri" w:hAnsi="Calibri" w:eastAsia="Hiragino Sans GB"/>
                <w:b/>
                <w:color w:val="1D5FD1"/>
                <w:sz w:val="15"/>
              </w:rPr>
              <w:t>WEEK</w:t>
            </w:r>
          </w:p>
          <w:p>
            <w:pPr>
              <w:spacing w:after="0"/>
              <w:jc w:val="center"/>
            </w:pPr>
            <w:r>
              <w:rPr>
                <w:rFonts w:ascii="Calibri" w:hAnsi="Calibri" w:eastAsia="Hiragino Sans GB"/>
                <w:b/>
                <w:color w:val="111111"/>
                <w:sz w:val="19"/>
              </w:rPr>
              <w:t>2026-W28</w:t>
            </w:r>
          </w:p>
        </w:tc>
        <w:tc>
          <w:tcPr>
            <w:tcW w:type="dxa" w:w="2340"/>
            <w:tcMar>
              <w:top w:w="80" w:type="dxa"/>
              <w:bottom w:w="80" w:type="dxa"/>
              <w:start w:w="120" w:type="dxa"/>
              <w:end w:w="120" w:type="dxa"/>
            </w:tcMar>
            <w:vAlign w:val="top"/>
            <w:shd w:fill="F2F4F7"/>
          </w:tcPr>
          <w:p>
            <w:pPr>
              <w:spacing w:after="40"/>
              <w:jc w:val="center"/>
            </w:pPr>
            <w:r>
              <w:rPr>
                <w:rFonts w:ascii="Calibri" w:hAnsi="Calibri" w:eastAsia="Hiragino Sans GB"/>
                <w:b/>
                <w:color w:val="1D5FD1"/>
                <w:sz w:val="15"/>
              </w:rPr>
              <w:t>WINDOW</w:t>
            </w:r>
          </w:p>
          <w:p>
            <w:pPr>
              <w:spacing w:after="0"/>
              <w:jc w:val="center"/>
            </w:pPr>
            <w:r>
              <w:rPr>
                <w:rFonts w:ascii="Calibri" w:hAnsi="Calibri" w:eastAsia="Hiragino Sans GB"/>
                <w:b/>
                <w:color w:val="111111"/>
                <w:sz w:val="19"/>
              </w:rPr>
              <w:t>2026-07-04 → 2026-07-10</w:t>
            </w:r>
          </w:p>
        </w:tc>
        <w:tc>
          <w:tcPr>
            <w:tcW w:type="dxa" w:w="2340"/>
            <w:tcMar>
              <w:top w:w="80" w:type="dxa"/>
              <w:bottom w:w="80" w:type="dxa"/>
              <w:start w:w="120" w:type="dxa"/>
              <w:end w:w="120" w:type="dxa"/>
            </w:tcMar>
            <w:vAlign w:val="top"/>
            <w:shd w:fill="F2F4F7"/>
          </w:tcPr>
          <w:p>
            <w:pPr>
              <w:spacing w:after="40"/>
              <w:jc w:val="center"/>
            </w:pPr>
            <w:r>
              <w:rPr>
                <w:rFonts w:ascii="Calibri" w:hAnsi="Calibri" w:eastAsia="Hiragino Sans GB"/>
                <w:b/>
                <w:color w:val="1D5FD1"/>
                <w:sz w:val="15"/>
              </w:rPr>
              <w:t>EDITION</w:t>
            </w:r>
          </w:p>
          <w:p>
            <w:pPr>
              <w:spacing w:after="0"/>
              <w:jc w:val="center"/>
            </w:pPr>
            <w:r>
              <w:rPr>
                <w:rFonts w:ascii="Calibri" w:hAnsi="Calibri" w:eastAsia="Hiragino Sans GB"/>
                <w:b/>
                <w:color w:val="111111"/>
                <w:sz w:val="19"/>
              </w:rPr>
              <w:t>weekly_close · REV 10</w:t>
            </w:r>
          </w:p>
        </w:tc>
        <w:tc>
          <w:tcPr>
            <w:tcW w:type="dxa" w:w="2340"/>
            <w:tcMar>
              <w:top w:w="80" w:type="dxa"/>
              <w:bottom w:w="80" w:type="dxa"/>
              <w:start w:w="120" w:type="dxa"/>
              <w:end w:w="120" w:type="dxa"/>
            </w:tcMar>
            <w:vAlign w:val="top"/>
            <w:shd w:fill="F2F4F7"/>
          </w:tcPr>
          <w:p>
            <w:pPr>
              <w:spacing w:after="40"/>
              <w:jc w:val="center"/>
            </w:pPr>
            <w:r>
              <w:rPr>
                <w:rFonts w:ascii="Calibri" w:hAnsi="Calibri" w:eastAsia="Hiragino Sans GB"/>
                <w:b/>
                <w:color w:val="1D5FD1"/>
                <w:sz w:val="15"/>
              </w:rPr>
              <w:t>QUALITY</w:t>
            </w:r>
          </w:p>
          <w:p>
            <w:pPr>
              <w:spacing w:after="0"/>
              <w:jc w:val="center"/>
            </w:pPr>
            <w:r>
              <w:rPr>
                <w:rFonts w:ascii="Calibri" w:hAnsi="Calibri" w:eastAsia="Hiragino Sans GB"/>
                <w:b/>
                <w:color w:val="111111"/>
                <w:sz w:val="19"/>
              </w:rPr>
              <w:t>pass_with_warnings · 67</w:t>
            </w:r>
          </w:p>
        </w:tc>
      </w:tr>
    </w:tbl>
    <w:p>
      <w:pPr>
        <w:spacing w:after="80"/>
      </w:pP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9360"/>
      </w:tblGrid>
      <w:tr>
        <w:trPr>
          <w:cantSplit/>
        </w:trPr>
        <w:tc>
          <w:tcPr>
            <w:tcW w:type="dxa" w:w="9360"/>
            <w:tcMar>
              <w:top w:w="80" w:type="dxa"/>
              <w:bottom w:w="80" w:type="dxa"/>
              <w:start w:w="120" w:type="dxa"/>
              <w:end w:w="120" w:type="dxa"/>
            </w:tcMar>
            <w:vAlign w:val="top"/>
            <w:shd w:fill="F8F9FA"/>
          </w:tcPr>
          <w:p>
            <w:pPr>
              <w:spacing w:before="80" w:after="80"/>
            </w:pPr>
            <w:r>
              <w:rPr>
                <w:rFonts w:ascii="Calibri" w:hAnsi="Calibri" w:eastAsia="Hiragino Sans GB"/>
                <w:b/>
                <w:color w:val="D85B16"/>
                <w:sz w:val="17"/>
              </w:rPr>
              <w:t>一句话结论</w:t>
              <w:br/>
            </w:r>
            <w:r>
              <w:rPr>
                <w:rFonts w:ascii="Calibri" w:hAnsi="Calibri" w:eastAsia="Hiragino Sans GB"/>
                <w:b/>
                <w:color w:val="111111"/>
                <w:sz w:val="24"/>
              </w:rPr>
              <w:t>本周唯一明确降权是油气/地缘通胀，其余五条主线维持观察；组合判断从追逐宏观叙事转向验证可交付电力、真实订单和资金共振。</w:t>
            </w:r>
          </w:p>
        </w:tc>
      </w:tr>
    </w:tbl>
    <w:p>
      <w:pPr>
        <w:spacing w:before="320" w:after="0"/>
        <w:jc w:val="center"/>
      </w:pPr>
      <w:hyperlink r:id="rId11">
        <w:r>
          <w:rPr>
            <w:color w:val="1D5FD1"/>
            <w:u w:val="single"/>
            <w:sz w:val="18"/>
            <w:szCs w:val="18"/>
            <w:rFonts w:ascii="Calibri" w:hAnsi="Calibri" w:eastAsia="Hiragino Sans GB"/>
          </w:rPr>
          <w:t>打开受保护的在线周报</w:t>
        </w:r>
      </w:hyperlink>
    </w:p>
    <w:p>
      <w:r>
        <w:br w:type="page"/>
      </w:r>
    </w:p>
    <w:p>
      <w:pPr>
        <w:pStyle w:val="SectionLabel"/>
      </w:pPr>
      <w:r>
        <w:rPr>
          <w:rFonts w:ascii="Calibri" w:hAnsi="Calibri" w:eastAsia="Hiragino Sans GB"/>
          <w:b/>
          <w:color w:val="1D5FD1"/>
          <w:sz w:val="17"/>
        </w:rPr>
        <w:t>DECISION FIRST</w:t>
      </w:r>
    </w:p>
    <w:p>
      <w:pPr>
        <w:pStyle w:val="Heading1"/>
      </w:pPr>
      <w:r>
        <w:t>1. 执行摘要</w:t>
      </w:r>
    </w:p>
    <w:p>
      <w:pPr>
        <w:keepLines w:val="0"/>
      </w:pPr>
      <w:r>
        <w:rPr>
          <w:rFonts w:ascii="Calibri" w:hAnsi="Calibri" w:eastAsia="Hiragino Sans GB"/>
          <w:b w:val="0"/>
          <w:color w:val="111111"/>
          <w:sz w:val="22"/>
        </w:rPr>
        <w:t>决策先行：油气/地缘通胀执行TRIM，A股红利/硬科技杠铃、Mag7 AI平台再分层、AI再通胀/利率敏感资产、AI软件效率/生产率及A股硬科技/科创50均为HOLD。AI需求叙事没有被推翻，但收益兑现的约束已从算力意愿进一步下沉到并网、变压器、可靠电源与融资成本；A股内部则应区分订单可验证的电力设备链与仍受杠杆拥挤、管制风险影响的半导体暴露。由于本周没有上周版本，本报告是基线版，不能声称周环比仓位或信心变化；同时结构化市场报价为空，文中不作最新价格、涨跌幅或资金流判断。</w:t>
      </w:r>
    </w:p>
    <w:p>
      <w:pPr>
        <w:keepLines/>
      </w:pPr>
      <w:r>
        <w:rPr>
          <w:rFonts w:ascii="Calibri" w:hAnsi="Calibri" w:eastAsia="Hiragino Sans GB"/>
          <w:b w:val="0"/>
          <w:color w:val="5E6268"/>
          <w:sz w:val="22"/>
        </w:rPr>
        <w:t>本周的核心不是选出新的单边赢家，而是把组合纪律从“叙事正确”推进到“交付、订单、资金与宏观传导同时可验证”。基线动作是油气TRIM、其余HOLD；若下周可观察信号没有形成共振，就继续以观察池、分层暴露和风险上限为主。由于没有市场报价数据，本报告不提供最新价格、涨跌幅或资金流结论。以上为研究综合，不构成投资建议，不承诺任何收益。</w:t>
      </w:r>
    </w:p>
    <w:p>
      <w:pPr>
        <w:pStyle w:val="Heading1"/>
      </w:pPr>
      <w:r>
        <w:t>2. 本周操作结论</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850"/>
        <w:gridCol w:w="2050"/>
        <w:gridCol w:w="4200"/>
        <w:gridCol w:w="2260"/>
      </w:tblGrid>
      <w:tr>
        <w:trPr>
          <w:cantSplit/>
          <w:tblHeader w:val="true"/>
        </w:trPr>
        <w:tc>
          <w:tcPr>
            <w:tcW w:type="dxa" w:w="8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6"/>
              </w:rPr>
              <w:t>ACTION</w:t>
            </w:r>
          </w:p>
        </w:tc>
        <w:tc>
          <w:tcPr>
            <w:tcW w:type="dxa" w:w="20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6"/>
              </w:rPr>
              <w:t>TARGET</w:t>
            </w:r>
          </w:p>
        </w:tc>
        <w:tc>
          <w:tcPr>
            <w:tcW w:type="dxa" w:w="42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6"/>
              </w:rPr>
              <w:t>DRIVER / CONFIRMATION</w:t>
            </w:r>
          </w:p>
        </w:tc>
        <w:tc>
          <w:tcPr>
            <w:tcW w:type="dxa" w:w="226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6"/>
              </w:rPr>
              <w:t>INVALIDATION</w:t>
            </w:r>
          </w:p>
        </w:tc>
      </w:tr>
      <w:tr>
        <w:trPr>
          <w:cantSplit/>
        </w:trPr>
        <w:tc>
          <w:tcPr>
            <w:tcW w:type="dxa" w:w="850"/>
            <w:tcMar>
              <w:top w:w="80" w:type="dxa"/>
              <w:bottom w:w="80" w:type="dxa"/>
              <w:start w:w="120" w:type="dxa"/>
              <w:end w:w="120" w:type="dxa"/>
            </w:tcMar>
            <w:vAlign w:val="top"/>
          </w:tcPr>
          <w:p>
            <w:pPr>
              <w:spacing w:before="0" w:after="0" w:line="252" w:lineRule="auto"/>
            </w:pPr>
            <w:r>
              <w:rPr>
                <w:rFonts w:ascii="Calibri" w:hAnsi="Calibri" w:eastAsia="Hiragino Sans GB"/>
                <w:b/>
                <w:color w:val="C92A2A"/>
                <w:sz w:val="17"/>
              </w:rPr>
              <w:t>TRIM</w:t>
            </w:r>
          </w:p>
        </w:tc>
        <w:tc>
          <w:tcPr>
            <w:tcW w:type="dxa" w:w="2050"/>
            <w:tcMar>
              <w:top w:w="80" w:type="dxa"/>
              <w:bottom w:w="80" w:type="dxa"/>
              <w:start w:w="120" w:type="dxa"/>
              <w:end w:w="120" w:type="dxa"/>
            </w:tcMar>
            <w:vAlign w:val="top"/>
          </w:tcPr>
          <w:p>
            <w:pPr>
              <w:spacing w:after="40"/>
            </w:pPr>
            <w:hyperlink r:id="rId12">
              <w:r>
                <w:rPr>
                  <w:color w:val="1D5FD1"/>
                  <w:u w:val="single"/>
                  <w:b/>
                  <w:sz w:val="17"/>
                  <w:szCs w:val="17"/>
                  <w:rFonts w:ascii="Calibri" w:hAnsi="Calibri" w:eastAsia="Hiragino Sans GB"/>
                </w:rPr>
                <w:t>油气/地缘通胀</w:t>
              </w:r>
            </w:hyperlink>
            <w:r>
              <w:rPr>
                <w:rFonts w:ascii="Calibri" w:hAnsi="Calibri" w:eastAsia="Hiragino Sans GB"/>
                <w:color w:val="5E6268"/>
                <w:sz w:val="15"/>
              </w:rPr>
              <w:br/>
              <w:t>lane · 2026-07-10 · 92%</w:t>
            </w:r>
          </w:p>
        </w:tc>
        <w:tc>
          <w:tcPr>
            <w:tcW w:type="dxa" w:w="420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6"/>
              </w:rPr>
              <w:t>地缘风险提供油价尾部，但持续收益取决于库存、资本纪律和上游现金流，而非单日冲击。 风险雷达：降权跟踪：适合作为风险雷达，不适合作为无条件加仓理由。 确认：油价和金属缺口是否从成本冲击变成需求破坏</w:t>
            </w:r>
          </w:p>
        </w:tc>
        <w:tc>
          <w:tcPr>
            <w:tcW w:type="dxa" w:w="2260"/>
            <w:tcMar>
              <w:top w:w="80" w:type="dxa"/>
              <w:bottom w:w="80" w:type="dxa"/>
              <w:start w:w="120" w:type="dxa"/>
              <w:end w:w="120" w:type="dxa"/>
            </w:tcMar>
            <w:vAlign w:val="top"/>
          </w:tcPr>
          <w:p>
            <w:pPr>
              <w:spacing w:before="0" w:after="0" w:line="252" w:lineRule="auto"/>
            </w:pPr>
            <w:r>
              <w:rPr>
                <w:rFonts w:ascii="Calibri" w:hAnsi="Calibri" w:eastAsia="Hiragino Sans GB"/>
                <w:b w:val="0"/>
                <w:color w:val="C92A2A"/>
                <w:sz w:val="16"/>
              </w:rPr>
              <w:t>风险事件继续高于支持事件，且最新证据没有修复。</w:t>
            </w:r>
          </w:p>
        </w:tc>
      </w:tr>
      <w:tr>
        <w:trPr>
          <w:cantSplit/>
        </w:trPr>
        <w:tc>
          <w:tcPr>
            <w:tcW w:type="dxa" w:w="850"/>
            <w:tcMar>
              <w:top w:w="80" w:type="dxa"/>
              <w:bottom w:w="80" w:type="dxa"/>
              <w:start w:w="120" w:type="dxa"/>
              <w:end w:w="120" w:type="dxa"/>
            </w:tcMar>
            <w:vAlign w:val="top"/>
          </w:tcPr>
          <w:p>
            <w:pPr>
              <w:spacing w:before="0" w:after="0" w:line="252" w:lineRule="auto"/>
            </w:pPr>
            <w:r>
              <w:rPr>
                <w:rFonts w:ascii="Calibri" w:hAnsi="Calibri" w:eastAsia="Hiragino Sans GB"/>
                <w:b/>
                <w:color w:val="1D5FD1"/>
                <w:sz w:val="17"/>
              </w:rPr>
              <w:t>HOLD</w:t>
            </w:r>
          </w:p>
        </w:tc>
        <w:tc>
          <w:tcPr>
            <w:tcW w:type="dxa" w:w="2050"/>
            <w:tcMar>
              <w:top w:w="80" w:type="dxa"/>
              <w:bottom w:w="80" w:type="dxa"/>
              <w:start w:w="120" w:type="dxa"/>
              <w:end w:w="120" w:type="dxa"/>
            </w:tcMar>
            <w:vAlign w:val="top"/>
          </w:tcPr>
          <w:p>
            <w:pPr>
              <w:spacing w:after="40"/>
            </w:pPr>
            <w:hyperlink r:id="rId13">
              <w:r>
                <w:rPr>
                  <w:color w:val="1D5FD1"/>
                  <w:u w:val="single"/>
                  <w:b/>
                  <w:sz w:val="17"/>
                  <w:szCs w:val="17"/>
                  <w:rFonts w:ascii="Calibri" w:hAnsi="Calibri" w:eastAsia="Hiragino Sans GB"/>
                </w:rPr>
                <w:t>A股红利/硬科技杠铃</w:t>
              </w:r>
            </w:hyperlink>
            <w:r>
              <w:rPr>
                <w:rFonts w:ascii="Calibri" w:hAnsi="Calibri" w:eastAsia="Hiragino Sans GB"/>
                <w:color w:val="5E6268"/>
                <w:sz w:val="15"/>
              </w:rPr>
              <w:br/>
              <w:t>lane · 2026-07-10 · 92%</w:t>
            </w:r>
          </w:p>
        </w:tc>
        <w:tc>
          <w:tcPr>
            <w:tcW w:type="dxa" w:w="420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6"/>
              </w:rPr>
              <w:t>观察等待：先放入观察池，只在证据密度和价格确认同时改善时进入组合。 确认：融资余额、ETF 申赎和北向资金是否同向</w:t>
            </w:r>
          </w:p>
        </w:tc>
        <w:tc>
          <w:tcPr>
            <w:tcW w:type="dxa" w:w="2260"/>
            <w:tcMar>
              <w:top w:w="80" w:type="dxa"/>
              <w:bottom w:w="80" w:type="dxa"/>
              <w:start w:w="120" w:type="dxa"/>
              <w:end w:w="120" w:type="dxa"/>
            </w:tcMar>
            <w:vAlign w:val="top"/>
          </w:tcPr>
          <w:p>
            <w:pPr>
              <w:spacing w:before="0" w:after="0" w:line="252" w:lineRule="auto"/>
            </w:pPr>
            <w:r>
              <w:rPr>
                <w:rFonts w:ascii="Calibri" w:hAnsi="Calibri" w:eastAsia="Hiragino Sans GB"/>
                <w:b w:val="0"/>
                <w:color w:val="C92A2A"/>
                <w:sz w:val="16"/>
              </w:rPr>
              <w:t>支持证据停止更新，价格或资金面先于基本面走弱。</w:t>
            </w:r>
          </w:p>
        </w:tc>
      </w:tr>
      <w:tr>
        <w:trPr>
          <w:cantSplit/>
        </w:trPr>
        <w:tc>
          <w:tcPr>
            <w:tcW w:type="dxa" w:w="850"/>
            <w:tcMar>
              <w:top w:w="80" w:type="dxa"/>
              <w:bottom w:w="80" w:type="dxa"/>
              <w:start w:w="120" w:type="dxa"/>
              <w:end w:w="120" w:type="dxa"/>
            </w:tcMar>
            <w:vAlign w:val="top"/>
          </w:tcPr>
          <w:p>
            <w:pPr>
              <w:spacing w:before="0" w:after="0" w:line="252" w:lineRule="auto"/>
            </w:pPr>
            <w:r>
              <w:rPr>
                <w:rFonts w:ascii="Calibri" w:hAnsi="Calibri" w:eastAsia="Hiragino Sans GB"/>
                <w:b/>
                <w:color w:val="1D5FD1"/>
                <w:sz w:val="17"/>
              </w:rPr>
              <w:t>HOLD</w:t>
            </w:r>
          </w:p>
        </w:tc>
        <w:tc>
          <w:tcPr>
            <w:tcW w:type="dxa" w:w="2050"/>
            <w:tcMar>
              <w:top w:w="80" w:type="dxa"/>
              <w:bottom w:w="80" w:type="dxa"/>
              <w:start w:w="120" w:type="dxa"/>
              <w:end w:w="120" w:type="dxa"/>
            </w:tcMar>
            <w:vAlign w:val="top"/>
          </w:tcPr>
          <w:p>
            <w:pPr>
              <w:spacing w:after="40"/>
            </w:pPr>
            <w:hyperlink r:id="rId14">
              <w:r>
                <w:rPr>
                  <w:color w:val="1D5FD1"/>
                  <w:u w:val="single"/>
                  <w:b/>
                  <w:sz w:val="17"/>
                  <w:szCs w:val="17"/>
                  <w:rFonts w:ascii="Calibri" w:hAnsi="Calibri" w:eastAsia="Hiragino Sans GB"/>
                </w:rPr>
                <w:t>Mag7 AI 平台再分层</w:t>
              </w:r>
            </w:hyperlink>
            <w:r>
              <w:rPr>
                <w:rFonts w:ascii="Calibri" w:hAnsi="Calibri" w:eastAsia="Hiragino Sans GB"/>
                <w:color w:val="5E6268"/>
                <w:sz w:val="15"/>
              </w:rPr>
              <w:br/>
              <w:t>lane · 2026-07-10 · 92%</w:t>
            </w:r>
          </w:p>
        </w:tc>
        <w:tc>
          <w:tcPr>
            <w:tcW w:type="dxa" w:w="420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6"/>
              </w:rPr>
              <w:t>观察等待：先放入观察池，只在证据密度和价格确认同时改善时进入组合。 确认：云厂商 capex 指引是否继续上修</w:t>
            </w:r>
          </w:p>
        </w:tc>
        <w:tc>
          <w:tcPr>
            <w:tcW w:type="dxa" w:w="2260"/>
            <w:tcMar>
              <w:top w:w="80" w:type="dxa"/>
              <w:bottom w:w="80" w:type="dxa"/>
              <w:start w:w="120" w:type="dxa"/>
              <w:end w:w="120" w:type="dxa"/>
            </w:tcMar>
            <w:vAlign w:val="top"/>
          </w:tcPr>
          <w:p>
            <w:pPr>
              <w:spacing w:before="0" w:after="0" w:line="252" w:lineRule="auto"/>
            </w:pPr>
            <w:r>
              <w:rPr>
                <w:rFonts w:ascii="Calibri" w:hAnsi="Calibri" w:eastAsia="Hiragino Sans GB"/>
                <w:b w:val="0"/>
                <w:color w:val="C92A2A"/>
                <w:sz w:val="16"/>
              </w:rPr>
              <w:t>风险事件继续高于支持事件，且最新证据没有修复。</w:t>
            </w:r>
          </w:p>
        </w:tc>
      </w:tr>
      <w:tr>
        <w:trPr>
          <w:cantSplit/>
        </w:trPr>
        <w:tc>
          <w:tcPr>
            <w:tcW w:type="dxa" w:w="850"/>
            <w:tcMar>
              <w:top w:w="80" w:type="dxa"/>
              <w:bottom w:w="80" w:type="dxa"/>
              <w:start w:w="120" w:type="dxa"/>
              <w:end w:w="120" w:type="dxa"/>
            </w:tcMar>
            <w:vAlign w:val="top"/>
          </w:tcPr>
          <w:p>
            <w:pPr>
              <w:spacing w:before="0" w:after="0" w:line="252" w:lineRule="auto"/>
            </w:pPr>
            <w:r>
              <w:rPr>
                <w:rFonts w:ascii="Calibri" w:hAnsi="Calibri" w:eastAsia="Hiragino Sans GB"/>
                <w:b/>
                <w:color w:val="1D5FD1"/>
                <w:sz w:val="17"/>
              </w:rPr>
              <w:t>HOLD</w:t>
            </w:r>
          </w:p>
        </w:tc>
        <w:tc>
          <w:tcPr>
            <w:tcW w:type="dxa" w:w="2050"/>
            <w:tcMar>
              <w:top w:w="80" w:type="dxa"/>
              <w:bottom w:w="80" w:type="dxa"/>
              <w:start w:w="120" w:type="dxa"/>
              <w:end w:w="120" w:type="dxa"/>
            </w:tcMar>
            <w:vAlign w:val="top"/>
          </w:tcPr>
          <w:p>
            <w:pPr>
              <w:spacing w:after="40"/>
            </w:pPr>
            <w:hyperlink r:id="rId15">
              <w:r>
                <w:rPr>
                  <w:color w:val="1D5FD1"/>
                  <w:u w:val="single"/>
                  <w:b/>
                  <w:sz w:val="17"/>
                  <w:szCs w:val="17"/>
                  <w:rFonts w:ascii="Calibri" w:hAnsi="Calibri" w:eastAsia="Hiragino Sans GB"/>
                </w:rPr>
                <w:t>AI 再通胀/利率敏感资产</w:t>
              </w:r>
            </w:hyperlink>
            <w:r>
              <w:rPr>
                <w:rFonts w:ascii="Calibri" w:hAnsi="Calibri" w:eastAsia="Hiragino Sans GB"/>
                <w:color w:val="5E6268"/>
                <w:sz w:val="15"/>
              </w:rPr>
              <w:br/>
              <w:t>lane · 2026-07-10 · 92%</w:t>
            </w:r>
          </w:p>
        </w:tc>
        <w:tc>
          <w:tcPr>
            <w:tcW w:type="dxa" w:w="420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6"/>
              </w:rPr>
              <w:t>观察等待：先放入观察池，只在证据密度和价格确认同时改善时进入组合。 确认：CPI/PCE 与油价是否重新推高实际利率</w:t>
            </w:r>
          </w:p>
        </w:tc>
        <w:tc>
          <w:tcPr>
            <w:tcW w:type="dxa" w:w="2260"/>
            <w:tcMar>
              <w:top w:w="80" w:type="dxa"/>
              <w:bottom w:w="80" w:type="dxa"/>
              <w:start w:w="120" w:type="dxa"/>
              <w:end w:w="120" w:type="dxa"/>
            </w:tcMar>
            <w:vAlign w:val="top"/>
          </w:tcPr>
          <w:p>
            <w:pPr>
              <w:spacing w:before="0" w:after="0" w:line="252" w:lineRule="auto"/>
            </w:pPr>
            <w:r>
              <w:rPr>
                <w:rFonts w:ascii="Calibri" w:hAnsi="Calibri" w:eastAsia="Hiragino Sans GB"/>
                <w:b w:val="0"/>
                <w:color w:val="C92A2A"/>
                <w:sz w:val="16"/>
              </w:rPr>
              <w:t>风险事件继续高于支持事件，且最新证据没有修复。</w:t>
            </w:r>
          </w:p>
        </w:tc>
      </w:tr>
      <w:tr>
        <w:trPr>
          <w:cantSplit/>
        </w:trPr>
        <w:tc>
          <w:tcPr>
            <w:tcW w:type="dxa" w:w="850"/>
            <w:tcMar>
              <w:top w:w="80" w:type="dxa"/>
              <w:bottom w:w="80" w:type="dxa"/>
              <w:start w:w="120" w:type="dxa"/>
              <w:end w:w="120" w:type="dxa"/>
            </w:tcMar>
            <w:vAlign w:val="top"/>
          </w:tcPr>
          <w:p>
            <w:pPr>
              <w:spacing w:before="0" w:after="0" w:line="252" w:lineRule="auto"/>
            </w:pPr>
            <w:r>
              <w:rPr>
                <w:rFonts w:ascii="Calibri" w:hAnsi="Calibri" w:eastAsia="Hiragino Sans GB"/>
                <w:b/>
                <w:color w:val="1D5FD1"/>
                <w:sz w:val="17"/>
              </w:rPr>
              <w:t>HOLD</w:t>
            </w:r>
          </w:p>
        </w:tc>
        <w:tc>
          <w:tcPr>
            <w:tcW w:type="dxa" w:w="2050"/>
            <w:tcMar>
              <w:top w:w="80" w:type="dxa"/>
              <w:bottom w:w="80" w:type="dxa"/>
              <w:start w:w="120" w:type="dxa"/>
              <w:end w:w="120" w:type="dxa"/>
            </w:tcMar>
            <w:vAlign w:val="top"/>
          </w:tcPr>
          <w:p>
            <w:pPr>
              <w:spacing w:after="40"/>
            </w:pPr>
            <w:hyperlink r:id="rId16">
              <w:r>
                <w:rPr>
                  <w:color w:val="1D5FD1"/>
                  <w:u w:val="single"/>
                  <w:b/>
                  <w:sz w:val="17"/>
                  <w:szCs w:val="17"/>
                  <w:rFonts w:ascii="Calibri" w:hAnsi="Calibri" w:eastAsia="Hiragino Sans GB"/>
                </w:rPr>
                <w:t>AI 软件效率/生产率</w:t>
              </w:r>
            </w:hyperlink>
            <w:r>
              <w:rPr>
                <w:rFonts w:ascii="Calibri" w:hAnsi="Calibri" w:eastAsia="Hiragino Sans GB"/>
                <w:color w:val="5E6268"/>
                <w:sz w:val="15"/>
              </w:rPr>
              <w:br/>
              <w:t>lane · 2026-07-10 · 92%</w:t>
            </w:r>
          </w:p>
        </w:tc>
        <w:tc>
          <w:tcPr>
            <w:tcW w:type="dxa" w:w="420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6"/>
              </w:rPr>
              <w:t>观察等待：先放入观察池，只在证据密度和价格确认同时改善时进入组合。 确认：CPI/PCE 与油价是否重新推高实际利率</w:t>
            </w:r>
          </w:p>
        </w:tc>
        <w:tc>
          <w:tcPr>
            <w:tcW w:type="dxa" w:w="2260"/>
            <w:tcMar>
              <w:top w:w="80" w:type="dxa"/>
              <w:bottom w:w="80" w:type="dxa"/>
              <w:start w:w="120" w:type="dxa"/>
              <w:end w:w="120" w:type="dxa"/>
            </w:tcMar>
            <w:vAlign w:val="top"/>
          </w:tcPr>
          <w:p>
            <w:pPr>
              <w:spacing w:before="0" w:after="0" w:line="252" w:lineRule="auto"/>
            </w:pPr>
            <w:r>
              <w:rPr>
                <w:rFonts w:ascii="Calibri" w:hAnsi="Calibri" w:eastAsia="Hiragino Sans GB"/>
                <w:b w:val="0"/>
                <w:color w:val="C92A2A"/>
                <w:sz w:val="16"/>
              </w:rPr>
              <w:t>风险事件继续高于支持事件，且最新证据没有修复。</w:t>
            </w:r>
          </w:p>
        </w:tc>
      </w:tr>
      <w:tr>
        <w:trPr>
          <w:cantSplit/>
        </w:trPr>
        <w:tc>
          <w:tcPr>
            <w:tcW w:type="dxa" w:w="850"/>
            <w:tcMar>
              <w:top w:w="80" w:type="dxa"/>
              <w:bottom w:w="80" w:type="dxa"/>
              <w:start w:w="120" w:type="dxa"/>
              <w:end w:w="120" w:type="dxa"/>
            </w:tcMar>
            <w:vAlign w:val="top"/>
          </w:tcPr>
          <w:p>
            <w:pPr>
              <w:spacing w:before="0" w:after="0" w:line="252" w:lineRule="auto"/>
            </w:pPr>
            <w:r>
              <w:rPr>
                <w:rFonts w:ascii="Calibri" w:hAnsi="Calibri" w:eastAsia="Hiragino Sans GB"/>
                <w:b/>
                <w:color w:val="1D5FD1"/>
                <w:sz w:val="17"/>
              </w:rPr>
              <w:t>HOLD</w:t>
            </w:r>
          </w:p>
        </w:tc>
        <w:tc>
          <w:tcPr>
            <w:tcW w:type="dxa" w:w="2050"/>
            <w:tcMar>
              <w:top w:w="80" w:type="dxa"/>
              <w:bottom w:w="80" w:type="dxa"/>
              <w:start w:w="120" w:type="dxa"/>
              <w:end w:w="120" w:type="dxa"/>
            </w:tcMar>
            <w:vAlign w:val="top"/>
          </w:tcPr>
          <w:p>
            <w:pPr>
              <w:spacing w:after="40"/>
            </w:pPr>
            <w:hyperlink r:id="rId17">
              <w:r>
                <w:rPr>
                  <w:color w:val="1D5FD1"/>
                  <w:u w:val="single"/>
                  <w:b/>
                  <w:sz w:val="17"/>
                  <w:szCs w:val="17"/>
                  <w:rFonts w:ascii="Calibri" w:hAnsi="Calibri" w:eastAsia="Hiragino Sans GB"/>
                </w:rPr>
                <w:t>A股硬科技/科创50</w:t>
              </w:r>
            </w:hyperlink>
            <w:r>
              <w:rPr>
                <w:rFonts w:ascii="Calibri" w:hAnsi="Calibri" w:eastAsia="Hiragino Sans GB"/>
                <w:color w:val="5E6268"/>
                <w:sz w:val="15"/>
              </w:rPr>
              <w:br/>
              <w:t>lane · 2026-07-10 · 92%</w:t>
            </w:r>
          </w:p>
        </w:tc>
        <w:tc>
          <w:tcPr>
            <w:tcW w:type="dxa" w:w="420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6"/>
              </w:rPr>
              <w:t>观察等待：先放入观察池，只在证据密度和价格确认同时改善时进入组合。 确认：融资余额、ETF 申赎和北向资金是否同向</w:t>
            </w:r>
          </w:p>
        </w:tc>
        <w:tc>
          <w:tcPr>
            <w:tcW w:type="dxa" w:w="2260"/>
            <w:tcMar>
              <w:top w:w="80" w:type="dxa"/>
              <w:bottom w:w="80" w:type="dxa"/>
              <w:start w:w="120" w:type="dxa"/>
              <w:end w:w="120" w:type="dxa"/>
            </w:tcMar>
            <w:vAlign w:val="top"/>
          </w:tcPr>
          <w:p>
            <w:pPr>
              <w:spacing w:before="0" w:after="0" w:line="252" w:lineRule="auto"/>
            </w:pPr>
            <w:r>
              <w:rPr>
                <w:rFonts w:ascii="Calibri" w:hAnsi="Calibri" w:eastAsia="Hiragino Sans GB"/>
                <w:b w:val="0"/>
                <w:color w:val="C92A2A"/>
                <w:sz w:val="16"/>
              </w:rPr>
              <w:t>风险事件继续高于支持事件，且最新证据没有修复。</w:t>
            </w:r>
          </w:p>
        </w:tc>
      </w:tr>
    </w:tbl>
    <w:p>
      <w:pPr>
        <w:pStyle w:val="TableCitation"/>
      </w:pPr>
      <w:r>
        <w:t>基于公开研究合约的研究台操作视图，不构成投资建议；完整客观命中率与真实组合交易需要独立 Panorama App/组合账本读取。</w:t>
      </w:r>
    </w:p>
    <w:p>
      <w:pPr>
        <w:pStyle w:val="Heading1"/>
      </w:pPr>
      <w:r>
        <w:t>3. 决策解释：从证据到组合</w:t>
      </w:r>
    </w:p>
    <w:p>
      <w:pPr>
        <w:pStyle w:val="Heading2"/>
        <w:keepNext/>
      </w:pPr>
      <w:r>
        <w:t>01 · TRIM｜油气/地缘通胀</w:t>
      </w:r>
    </w:p>
    <w:p>
      <w:pPr>
        <w:keepLines/>
      </w:pPr>
      <w:r>
        <w:rPr>
          <w:rFonts w:ascii="Calibri" w:hAnsi="Calibri" w:eastAsia="Hiragino Sans GB"/>
          <w:b w:val="0"/>
          <w:color w:val="111111"/>
          <w:sz w:val="22"/>
        </w:rPr>
        <w:t>既定判断为：“地缘风险提供油价尾部，但持续收益取决于库存、资本纪律和上游现金流，而非单日冲击。 风险雷达：降权跟踪：适合作为风险雷达，不适合作为无条件加仓理由。”本周证据更支持把地缘事件视为尾部风险，而非已经转化为油服盈利的持续催化；接下来核对“油价和金属缺口是否从成本冲击变成需求破坏”。</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1500"/>
        <w:gridCol w:w="7860"/>
      </w:tblGrid>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7"/>
              </w:rPr>
              <w:t>组合含义</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降低以单次地缘冲击为核心的油气风险预算，保留监测敞口；只有上游资本开支、设备利用率和现金流链条得到连续验证，才有理由重新评估。</w:t>
            </w:r>
          </w:p>
        </w:tc>
      </w:tr>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7"/>
              </w:rPr>
              <w:t>证伪条件</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风险事件继续高于支持事件，且最新证据没有修复。</w:t>
            </w:r>
          </w:p>
        </w:tc>
      </w:tr>
    </w:tbl>
    <w:p>
      <w:pPr>
        <w:pStyle w:val="TableCitation"/>
      </w:pPr>
      <w:r>
        <w:t>证据：</w:t>
      </w:r>
      <w:hyperlink r:id="rId18">
        <w:r>
          <w:rPr>
            <w:color w:val="1D5FD1"/>
            <w:u w:val="single"/>
            <w:sz w:val="17"/>
            <w:szCs w:val="17"/>
            <w:rFonts w:ascii="Calibri" w:hAnsi="Calibri" w:eastAsia="Hiragino Sans GB"/>
          </w:rPr>
          <w:t>R1</w:t>
        </w:r>
      </w:hyperlink>
      <w:r>
        <w:t xml:space="preserve"> · </w:t>
      </w:r>
      <w:hyperlink r:id="rId19">
        <w:r>
          <w:rPr>
            <w:color w:val="1D5FD1"/>
            <w:u w:val="single"/>
            <w:sz w:val="17"/>
            <w:szCs w:val="17"/>
            <w:rFonts w:ascii="Calibri" w:hAnsi="Calibri" w:eastAsia="Hiragino Sans GB"/>
          </w:rPr>
          <w:t>R2</w:t>
        </w:r>
      </w:hyperlink>
      <w:r>
        <w:t xml:space="preserve"> · </w:t>
      </w:r>
      <w:hyperlink r:id="rId20">
        <w:r>
          <w:rPr>
            <w:color w:val="1D5FD1"/>
            <w:u w:val="single"/>
            <w:sz w:val="17"/>
            <w:szCs w:val="17"/>
            <w:rFonts w:ascii="Calibri" w:hAnsi="Calibri" w:eastAsia="Hiragino Sans GB"/>
          </w:rPr>
          <w:t>R3</w:t>
        </w:r>
      </w:hyperlink>
      <w:r>
        <w:t xml:space="preserve"> · </w:t>
      </w:r>
      <w:hyperlink r:id="rId21">
        <w:r>
          <w:rPr>
            <w:color w:val="1D5FD1"/>
            <w:u w:val="single"/>
            <w:sz w:val="17"/>
            <w:szCs w:val="17"/>
            <w:rFonts w:ascii="Calibri" w:hAnsi="Calibri" w:eastAsia="Hiragino Sans GB"/>
          </w:rPr>
          <w:t>对应 Thesis</w:t>
        </w:r>
      </w:hyperlink>
    </w:p>
    <w:p>
      <w:pPr>
        <w:pStyle w:val="Heading2"/>
        <w:keepNext/>
      </w:pPr>
      <w:r>
        <w:t>02 · HOLD｜A股红利/硬科技杠铃</w:t>
      </w:r>
    </w:p>
    <w:p>
      <w:pPr>
        <w:keepLines/>
      </w:pPr>
      <w:r>
        <w:rPr>
          <w:rFonts w:ascii="Calibri" w:hAnsi="Calibri" w:eastAsia="Hiragino Sans GB"/>
          <w:b w:val="0"/>
          <w:color w:val="111111"/>
          <w:sz w:val="22"/>
        </w:rPr>
        <w:t>既定判断为：“观察等待：先放入观察池，只在证据密度和价格确认同时改善时进入组合。”红利与电力资产仍提供防守锚，但微观流动性压力测试和硬科技内部拥挤度意味着杠铃两端都不能仅凭叙事扩张；接下来核对“融资余额、ETF 申赎和北向资金是否同向”。</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1500"/>
        <w:gridCol w:w="7860"/>
      </w:tblGrid>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7"/>
              </w:rPr>
              <w:t>组合含义</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维持杠铃框架和观察池，结构上偏向现金流与订单可验证的红利、电网环节；硬科技端等待订单、融资盘与指数结构共振，不把研究密度等同于资金确认。</w:t>
            </w:r>
          </w:p>
        </w:tc>
      </w:tr>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7"/>
              </w:rPr>
              <w:t>证伪条件</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支持证据停止更新，价格或资金面先于基本面走弱。</w:t>
            </w:r>
          </w:p>
        </w:tc>
      </w:tr>
    </w:tbl>
    <w:p>
      <w:pPr>
        <w:pStyle w:val="TableCitation"/>
      </w:pPr>
      <w:r>
        <w:t>证据：</w:t>
      </w:r>
      <w:hyperlink r:id="rId22">
        <w:r>
          <w:rPr>
            <w:color w:val="1D5FD1"/>
            <w:u w:val="single"/>
            <w:sz w:val="17"/>
            <w:szCs w:val="17"/>
            <w:rFonts w:ascii="Calibri" w:hAnsi="Calibri" w:eastAsia="Hiragino Sans GB"/>
          </w:rPr>
          <w:t>R1</w:t>
        </w:r>
      </w:hyperlink>
      <w:r>
        <w:t xml:space="preserve"> · </w:t>
      </w:r>
      <w:hyperlink r:id="rId23">
        <w:r>
          <w:rPr>
            <w:color w:val="1D5FD1"/>
            <w:u w:val="single"/>
            <w:sz w:val="17"/>
            <w:szCs w:val="17"/>
            <w:rFonts w:ascii="Calibri" w:hAnsi="Calibri" w:eastAsia="Hiragino Sans GB"/>
          </w:rPr>
          <w:t>R2</w:t>
        </w:r>
      </w:hyperlink>
      <w:r>
        <w:t xml:space="preserve"> · </w:t>
      </w:r>
      <w:hyperlink r:id="rId24">
        <w:r>
          <w:rPr>
            <w:color w:val="1D5FD1"/>
            <w:u w:val="single"/>
            <w:sz w:val="17"/>
            <w:szCs w:val="17"/>
            <w:rFonts w:ascii="Calibri" w:hAnsi="Calibri" w:eastAsia="Hiragino Sans GB"/>
          </w:rPr>
          <w:t>R3</w:t>
        </w:r>
      </w:hyperlink>
      <w:r>
        <w:t xml:space="preserve"> · </w:t>
      </w:r>
      <w:hyperlink r:id="rId25">
        <w:r>
          <w:rPr>
            <w:color w:val="1D5FD1"/>
            <w:u w:val="single"/>
            <w:sz w:val="17"/>
            <w:szCs w:val="17"/>
            <w:rFonts w:ascii="Calibri" w:hAnsi="Calibri" w:eastAsia="Hiragino Sans GB"/>
          </w:rPr>
          <w:t>对应 Thesis</w:t>
        </w:r>
      </w:hyperlink>
    </w:p>
    <w:p>
      <w:pPr>
        <w:pStyle w:val="Heading2"/>
        <w:keepNext/>
      </w:pPr>
      <w:r>
        <w:t>03 · HOLD｜Mag7 AI 平台再分层</w:t>
      </w:r>
    </w:p>
    <w:p>
      <w:pPr>
        <w:keepLines/>
      </w:pPr>
      <w:r>
        <w:rPr>
          <w:rFonts w:ascii="Calibri" w:hAnsi="Calibri" w:eastAsia="Hiragino Sans GB"/>
          <w:b w:val="0"/>
          <w:color w:val="111111"/>
          <w:sz w:val="22"/>
        </w:rPr>
        <w:t>既定判断为：“观察等待：先放入观察池，只在证据密度和价格确认同时改善时进入组合。”AI需求尚未被否定，但平台价值需要重新按算力供给、可交付电力、融资成本和商业化能力分层；接下来核对“云厂商 capex 指引是否继续上修”。</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1500"/>
        <w:gridCol w:w="7860"/>
      </w:tblGrid>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7"/>
              </w:rPr>
              <w:t>组合含义</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不以Mag7整体作为同质化暴露，继续区分基础设施受益者、资本开支承担者与软件变现平台；在资本开支指引和交付约束未共同改善前不扩大组合暴露。</w:t>
            </w:r>
          </w:p>
        </w:tc>
      </w:tr>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7"/>
              </w:rPr>
              <w:t>证伪条件</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风险事件继续高于支持事件，且最新证据没有修复。</w:t>
            </w:r>
          </w:p>
        </w:tc>
      </w:tr>
    </w:tbl>
    <w:p>
      <w:pPr>
        <w:pStyle w:val="TableCitation"/>
      </w:pPr>
      <w:r>
        <w:t>证据：</w:t>
      </w:r>
      <w:hyperlink r:id="rId22">
        <w:r>
          <w:rPr>
            <w:color w:val="1D5FD1"/>
            <w:u w:val="single"/>
            <w:sz w:val="17"/>
            <w:szCs w:val="17"/>
            <w:rFonts w:ascii="Calibri" w:hAnsi="Calibri" w:eastAsia="Hiragino Sans GB"/>
          </w:rPr>
          <w:t>R1</w:t>
        </w:r>
      </w:hyperlink>
      <w:r>
        <w:t xml:space="preserve"> · </w:t>
      </w:r>
      <w:hyperlink r:id="rId26">
        <w:r>
          <w:rPr>
            <w:color w:val="1D5FD1"/>
            <w:u w:val="single"/>
            <w:sz w:val="17"/>
            <w:szCs w:val="17"/>
            <w:rFonts w:ascii="Calibri" w:hAnsi="Calibri" w:eastAsia="Hiragino Sans GB"/>
          </w:rPr>
          <w:t>R2</w:t>
        </w:r>
      </w:hyperlink>
      <w:r>
        <w:t xml:space="preserve"> · </w:t>
      </w:r>
      <w:hyperlink r:id="rId27">
        <w:r>
          <w:rPr>
            <w:color w:val="1D5FD1"/>
            <w:u w:val="single"/>
            <w:sz w:val="17"/>
            <w:szCs w:val="17"/>
            <w:rFonts w:ascii="Calibri" w:hAnsi="Calibri" w:eastAsia="Hiragino Sans GB"/>
          </w:rPr>
          <w:t>R3</w:t>
        </w:r>
      </w:hyperlink>
      <w:r>
        <w:t xml:space="preserve"> · </w:t>
      </w:r>
      <w:hyperlink r:id="rId28">
        <w:r>
          <w:rPr>
            <w:color w:val="1D5FD1"/>
            <w:u w:val="single"/>
            <w:sz w:val="17"/>
            <w:szCs w:val="17"/>
            <w:rFonts w:ascii="Calibri" w:hAnsi="Calibri" w:eastAsia="Hiragino Sans GB"/>
          </w:rPr>
          <w:t>对应 Thesis</w:t>
        </w:r>
      </w:hyperlink>
    </w:p>
    <w:p>
      <w:pPr>
        <w:pStyle w:val="Heading2"/>
        <w:keepNext/>
      </w:pPr>
      <w:r>
        <w:t>04 · HOLD｜AI 再通胀/利率敏感资产</w:t>
      </w:r>
    </w:p>
    <w:p>
      <w:pPr>
        <w:keepLines/>
      </w:pPr>
      <w:r>
        <w:rPr>
          <w:rFonts w:ascii="Calibri" w:hAnsi="Calibri" w:eastAsia="Hiragino Sans GB"/>
          <w:b w:val="0"/>
          <w:color w:val="111111"/>
          <w:sz w:val="22"/>
        </w:rPr>
        <w:t>既定判断为：“观察等待：先放入观察池，只在证据密度和价格确认同时改善时进入组合。”AI资本开支可能经能源、设备和融资成本形成再通胀脉冲，但生产资料价格能否传导至核心通胀、政策是否选择穿透观察仍存在分歧；接下来核对“CPI/PCE 与油价是否重新推高实际利率”。</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1500"/>
        <w:gridCol w:w="7860"/>
      </w:tblGrid>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7"/>
              </w:rPr>
              <w:t>组合含义</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维持利率敏感资产观察仓与通胀保护的双向准备，不预设久期或能源资产单边胜出；先等待通胀数据、油价传导和实际利率方向形成一致证据。</w:t>
            </w:r>
          </w:p>
        </w:tc>
      </w:tr>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7"/>
              </w:rPr>
              <w:t>证伪条件</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风险事件继续高于支持事件，且最新证据没有修复。</w:t>
            </w:r>
          </w:p>
        </w:tc>
      </w:tr>
    </w:tbl>
    <w:p>
      <w:pPr>
        <w:pStyle w:val="TableCitation"/>
      </w:pPr>
      <w:r>
        <w:t>证据：</w:t>
      </w:r>
      <w:hyperlink r:id="rId22">
        <w:r>
          <w:rPr>
            <w:color w:val="1D5FD1"/>
            <w:u w:val="single"/>
            <w:sz w:val="17"/>
            <w:szCs w:val="17"/>
            <w:rFonts w:ascii="Calibri" w:hAnsi="Calibri" w:eastAsia="Hiragino Sans GB"/>
          </w:rPr>
          <w:t>R1</w:t>
        </w:r>
      </w:hyperlink>
      <w:r>
        <w:t xml:space="preserve"> · </w:t>
      </w:r>
      <w:hyperlink r:id="rId26">
        <w:r>
          <w:rPr>
            <w:color w:val="1D5FD1"/>
            <w:u w:val="single"/>
            <w:sz w:val="17"/>
            <w:szCs w:val="17"/>
            <w:rFonts w:ascii="Calibri" w:hAnsi="Calibri" w:eastAsia="Hiragino Sans GB"/>
          </w:rPr>
          <w:t>R2</w:t>
        </w:r>
      </w:hyperlink>
      <w:r>
        <w:t xml:space="preserve"> · </w:t>
      </w:r>
      <w:hyperlink r:id="rId27">
        <w:r>
          <w:rPr>
            <w:color w:val="1D5FD1"/>
            <w:u w:val="single"/>
            <w:sz w:val="17"/>
            <w:szCs w:val="17"/>
            <w:rFonts w:ascii="Calibri" w:hAnsi="Calibri" w:eastAsia="Hiragino Sans GB"/>
          </w:rPr>
          <w:t>R3</w:t>
        </w:r>
      </w:hyperlink>
      <w:r>
        <w:t xml:space="preserve"> · </w:t>
      </w:r>
      <w:hyperlink r:id="rId29">
        <w:r>
          <w:rPr>
            <w:color w:val="1D5FD1"/>
            <w:u w:val="single"/>
            <w:sz w:val="17"/>
            <w:szCs w:val="17"/>
            <w:rFonts w:ascii="Calibri" w:hAnsi="Calibri" w:eastAsia="Hiragino Sans GB"/>
          </w:rPr>
          <w:t>对应 Thesis</w:t>
        </w:r>
      </w:hyperlink>
    </w:p>
    <w:p>
      <w:pPr>
        <w:pStyle w:val="Heading2"/>
        <w:keepNext/>
      </w:pPr>
      <w:r>
        <w:t>05 · HOLD｜AI 软件效率/生产率</w:t>
      </w:r>
    </w:p>
    <w:p>
      <w:pPr>
        <w:keepLines/>
      </w:pPr>
      <w:r>
        <w:rPr>
          <w:rFonts w:ascii="Calibri" w:hAnsi="Calibri" w:eastAsia="Hiragino Sans GB"/>
          <w:b w:val="0"/>
          <w:color w:val="111111"/>
          <w:sz w:val="22"/>
        </w:rPr>
        <w:t>既定判断为：“观察等待：先放入观察池，只在证据密度和价格确认同时改善时进入组合。”软件效率改善尚不足以证明宏观生产率去通胀，采用率、流程重构与电力约束仍需验证；接下来按既定条件核对“CPI/PCE 与油价是否重新推高实际利率”。</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1500"/>
        <w:gridCol w:w="7860"/>
      </w:tblGrid>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7"/>
              </w:rPr>
              <w:t>组合含义</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继续观察MSFT、GOOGL、META、AMZN、NOW、CRM和ADBE所代表的软件效率链，但不把模型降价或使用热度直接写成利润率与生产率兑现。</w:t>
            </w:r>
          </w:p>
        </w:tc>
      </w:tr>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7"/>
              </w:rPr>
              <w:t>证伪条件</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风险事件继续高于支持事件，且最新证据没有修复。</w:t>
            </w:r>
          </w:p>
        </w:tc>
      </w:tr>
    </w:tbl>
    <w:p>
      <w:pPr>
        <w:pStyle w:val="TableCitation"/>
      </w:pPr>
      <w:r>
        <w:t>证据：</w:t>
      </w:r>
      <w:hyperlink r:id="rId22">
        <w:r>
          <w:rPr>
            <w:color w:val="1D5FD1"/>
            <w:u w:val="single"/>
            <w:sz w:val="17"/>
            <w:szCs w:val="17"/>
            <w:rFonts w:ascii="Calibri" w:hAnsi="Calibri" w:eastAsia="Hiragino Sans GB"/>
          </w:rPr>
          <w:t>R1</w:t>
        </w:r>
      </w:hyperlink>
      <w:r>
        <w:t xml:space="preserve"> · </w:t>
      </w:r>
      <w:hyperlink r:id="rId26">
        <w:r>
          <w:rPr>
            <w:color w:val="1D5FD1"/>
            <w:u w:val="single"/>
            <w:sz w:val="17"/>
            <w:szCs w:val="17"/>
            <w:rFonts w:ascii="Calibri" w:hAnsi="Calibri" w:eastAsia="Hiragino Sans GB"/>
          </w:rPr>
          <w:t>R2</w:t>
        </w:r>
      </w:hyperlink>
      <w:r>
        <w:t xml:space="preserve"> · </w:t>
      </w:r>
      <w:hyperlink r:id="rId27">
        <w:r>
          <w:rPr>
            <w:color w:val="1D5FD1"/>
            <w:u w:val="single"/>
            <w:sz w:val="17"/>
            <w:szCs w:val="17"/>
            <w:rFonts w:ascii="Calibri" w:hAnsi="Calibri" w:eastAsia="Hiragino Sans GB"/>
          </w:rPr>
          <w:t>R3</w:t>
        </w:r>
      </w:hyperlink>
      <w:r>
        <w:t xml:space="preserve"> · </w:t>
      </w:r>
      <w:hyperlink r:id="rId30">
        <w:r>
          <w:rPr>
            <w:color w:val="1D5FD1"/>
            <w:u w:val="single"/>
            <w:sz w:val="17"/>
            <w:szCs w:val="17"/>
            <w:rFonts w:ascii="Calibri" w:hAnsi="Calibri" w:eastAsia="Hiragino Sans GB"/>
          </w:rPr>
          <w:t>对应 Thesis</w:t>
        </w:r>
      </w:hyperlink>
    </w:p>
    <w:p>
      <w:pPr>
        <w:pStyle w:val="Heading2"/>
        <w:keepNext/>
      </w:pPr>
      <w:r>
        <w:t>06 · HOLD｜A股硬科技/科创50</w:t>
      </w:r>
    </w:p>
    <w:p>
      <w:pPr>
        <w:keepLines/>
      </w:pPr>
      <w:r>
        <w:rPr>
          <w:rFonts w:ascii="Calibri" w:hAnsi="Calibri" w:eastAsia="Hiragino Sans GB"/>
          <w:b w:val="0"/>
          <w:color w:val="111111"/>
          <w:sz w:val="22"/>
        </w:rPr>
        <w:t>既定判断为：“观察等待：先放入观察池，只在证据密度和价格确认同时改善时进入组合。”订单与国产化证据提供支撑，但融资杠杆拥挤、次生管制风险以及边际定价可能脱离基本面的挑战仍在；接下来核对“融资余额、ETF 申赎和北向资金是否同向”。</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1500"/>
        <w:gridCol w:w="7860"/>
      </w:tblGrid>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7"/>
              </w:rPr>
              <w:t>组合含义</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保留科创50与半导体观察池，优先筛选订单可验证且杠杆风险较低的环节；在三类资金信号未形成共振前，不将研究支持升级为组合增配。</w:t>
            </w:r>
          </w:p>
        </w:tc>
      </w:tr>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7"/>
              </w:rPr>
              <w:t>证伪条件</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风险事件继续高于支持事件，且最新证据没有修复。</w:t>
            </w:r>
          </w:p>
        </w:tc>
      </w:tr>
    </w:tbl>
    <w:p>
      <w:pPr>
        <w:pStyle w:val="TableCitation"/>
      </w:pPr>
      <w:r>
        <w:t>证据：</w:t>
      </w:r>
      <w:hyperlink r:id="rId22">
        <w:r>
          <w:rPr>
            <w:color w:val="1D5FD1"/>
            <w:u w:val="single"/>
            <w:sz w:val="17"/>
            <w:szCs w:val="17"/>
            <w:rFonts w:ascii="Calibri" w:hAnsi="Calibri" w:eastAsia="Hiragino Sans GB"/>
          </w:rPr>
          <w:t>R1</w:t>
        </w:r>
      </w:hyperlink>
      <w:r>
        <w:t xml:space="preserve"> · </w:t>
      </w:r>
      <w:hyperlink r:id="rId24">
        <w:r>
          <w:rPr>
            <w:color w:val="1D5FD1"/>
            <w:u w:val="single"/>
            <w:sz w:val="17"/>
            <w:szCs w:val="17"/>
            <w:rFonts w:ascii="Calibri" w:hAnsi="Calibri" w:eastAsia="Hiragino Sans GB"/>
          </w:rPr>
          <w:t>R2</w:t>
        </w:r>
      </w:hyperlink>
      <w:r>
        <w:t xml:space="preserve"> · </w:t>
      </w:r>
      <w:hyperlink r:id="rId31">
        <w:r>
          <w:rPr>
            <w:color w:val="1D5FD1"/>
            <w:u w:val="single"/>
            <w:sz w:val="17"/>
            <w:szCs w:val="17"/>
            <w:rFonts w:ascii="Calibri" w:hAnsi="Calibri" w:eastAsia="Hiragino Sans GB"/>
          </w:rPr>
          <w:t>R3</w:t>
        </w:r>
      </w:hyperlink>
      <w:r>
        <w:t xml:space="preserve"> · </w:t>
      </w:r>
      <w:hyperlink r:id="rId32">
        <w:r>
          <w:rPr>
            <w:color w:val="1D5FD1"/>
            <w:u w:val="single"/>
            <w:sz w:val="17"/>
            <w:szCs w:val="17"/>
            <w:rFonts w:ascii="Calibri" w:hAnsi="Calibri" w:eastAsia="Hiragino Sans GB"/>
          </w:rPr>
          <w:t>对应 Thesis</w:t>
        </w:r>
      </w:hyperlink>
    </w:p>
    <w:p>
      <w:pPr>
        <w:pStyle w:val="Heading1"/>
      </w:pPr>
      <w:r>
        <w:t>4. 本周真正改变了什么</w:t>
      </w:r>
    </w:p>
    <w:p>
      <w:pPr>
        <w:keepNext/>
      </w:pPr>
      <w:r>
        <w:rPr>
          <w:rFonts w:ascii="Calibri" w:hAnsi="Calibri" w:eastAsia="Hiragino Sans GB"/>
          <w:b/>
          <w:color w:val="D85B16"/>
          <w:sz w:val="18"/>
        </w:rPr>
        <w:t xml:space="preserve">01  NEW  </w:t>
      </w:r>
      <w:r>
        <w:rPr>
          <w:rFonts w:ascii="Calibri" w:hAnsi="Calibri" w:eastAsia="Hiragino Sans GB"/>
          <w:b/>
          <w:color w:val="111111"/>
          <w:sz w:val="22"/>
        </w:rPr>
        <w:t>基线版确立：六条决策中仅油气明确降权</w:t>
      </w:r>
    </w:p>
    <w:p>
      <w:pPr>
        <w:keepLines w:val="0"/>
      </w:pPr>
      <w:r>
        <w:rPr>
          <w:rFonts w:ascii="Calibri" w:hAnsi="Calibri" w:eastAsia="Hiragino Sans GB"/>
          <w:b w:val="0"/>
          <w:color w:val="111111"/>
          <w:sz w:val="22"/>
        </w:rPr>
        <w:t>缺少可比较的上周持久化版本，因此这不是相对上周的动作变化，而是2026-W28的首个可比较基线。六条确定性决策中，油气/地缘通胀为TRIM，其余均为HOLD；这表明风险预算首先从事件驱动的能源暴露撤回，而不是全面转向风险偏好扩张。</w:t>
      </w:r>
    </w:p>
    <w:p>
      <w:pPr>
        <w:pStyle w:val="TableCitation"/>
      </w:pPr>
      <w:r>
        <w:t>关联标的：</w:t>
      </w:r>
      <w:hyperlink r:id="rId33">
        <w:r>
          <w:rPr>
            <w:color w:val="1D5FD1"/>
            <w:u w:val="single"/>
            <w:sz w:val="17"/>
            <w:szCs w:val="17"/>
            <w:rFonts w:ascii="Calibri" w:hAnsi="Calibri" w:eastAsia="Hiragino Sans GB"/>
          </w:rPr>
          <w:t>0883.HK</w:t>
        </w:r>
      </w:hyperlink>
      <w:r>
        <w:t xml:space="preserve"> · </w:t>
      </w:r>
      <w:hyperlink r:id="rId34">
        <w:r>
          <w:rPr>
            <w:color w:val="1D5FD1"/>
            <w:u w:val="single"/>
            <w:sz w:val="17"/>
            <w:szCs w:val="17"/>
            <w:rFonts w:ascii="Calibri" w:hAnsi="Calibri" w:eastAsia="Hiragino Sans GB"/>
          </w:rPr>
          <w:t>SLB</w:t>
        </w:r>
      </w:hyperlink>
      <w:r>
        <w:t xml:space="preserve"> · </w:t>
      </w:r>
      <w:hyperlink r:id="rId35">
        <w:r>
          <w:rPr>
            <w:color w:val="1D5FD1"/>
            <w:u w:val="single"/>
            <w:sz w:val="17"/>
            <w:szCs w:val="17"/>
            <w:rFonts w:ascii="Calibri" w:hAnsi="Calibri" w:eastAsia="Hiragino Sans GB"/>
          </w:rPr>
          <w:t>XLE</w:t>
        </w:r>
      </w:hyperlink>
      <w:r>
        <w:t xml:space="preserve"> · </w:t>
      </w:r>
      <w:hyperlink r:id="rId36">
        <w:r>
          <w:rPr>
            <w:color w:val="1D5FD1"/>
            <w:u w:val="single"/>
            <w:sz w:val="17"/>
            <w:szCs w:val="17"/>
            <w:rFonts w:ascii="Calibri" w:hAnsi="Calibri" w:eastAsia="Hiragino Sans GB"/>
          </w:rPr>
          <w:t>600900.SH</w:t>
        </w:r>
      </w:hyperlink>
      <w:r>
        <w:t xml:space="preserve"> · </w:t>
      </w:r>
      <w:hyperlink r:id="rId37">
        <w:r>
          <w:rPr>
            <w:color w:val="1D5FD1"/>
            <w:u w:val="single"/>
            <w:sz w:val="17"/>
            <w:szCs w:val="17"/>
            <w:rFonts w:ascii="Calibri" w:hAnsi="Calibri" w:eastAsia="Hiragino Sans GB"/>
          </w:rPr>
          <w:t>NVDA</w:t>
        </w:r>
      </w:hyperlink>
    </w:p>
    <w:p>
      <w:pPr>
        <w:keepNext/>
      </w:pPr>
      <w:r>
        <w:rPr>
          <w:rFonts w:ascii="Calibri" w:hAnsi="Calibri" w:eastAsia="Hiragino Sans GB"/>
          <w:b/>
          <w:color w:val="D85B16"/>
          <w:sz w:val="18"/>
        </w:rPr>
        <w:t xml:space="preserve">02  STRENGTHENED  </w:t>
      </w:r>
      <w:r>
        <w:rPr>
          <w:rFonts w:ascii="Calibri" w:hAnsi="Calibri" w:eastAsia="Hiragino Sans GB"/>
          <w:b/>
          <w:color w:val="111111"/>
          <w:sz w:val="22"/>
        </w:rPr>
        <w:t>AI主线从“有需求”转向“能交付”</w:t>
      </w:r>
    </w:p>
    <w:p>
      <w:pPr>
        <w:keepLines w:val="0"/>
      </w:pPr>
      <w:r>
        <w:rPr>
          <w:rFonts w:ascii="Calibri" w:hAnsi="Calibri" w:eastAsia="Hiragino Sans GB"/>
          <w:b w:val="0"/>
          <w:color w:val="111111"/>
          <w:sz w:val="22"/>
        </w:rPr>
        <w:t>本周证据强化了AI需求与算力扩张仍具韧性的判断，但新增约束更具体：并网、变压器、可靠电源及融资成本决定资本开支能否转化为收入。真正的分层不再只是芯片与平台之争，而是有无可交付电力和匹配交付窗口。</w:t>
      </w:r>
    </w:p>
    <w:p>
      <w:pPr>
        <w:pStyle w:val="TableCitation"/>
      </w:pPr>
      <w:r>
        <w:t>关联标的：</w:t>
      </w:r>
      <w:hyperlink r:id="rId37">
        <w:r>
          <w:rPr>
            <w:color w:val="1D5FD1"/>
            <w:u w:val="single"/>
            <w:sz w:val="17"/>
            <w:szCs w:val="17"/>
            <w:rFonts w:ascii="Calibri" w:hAnsi="Calibri" w:eastAsia="Hiragino Sans GB"/>
          </w:rPr>
          <w:t>NVDA</w:t>
        </w:r>
      </w:hyperlink>
      <w:r>
        <w:t xml:space="preserve"> · </w:t>
      </w:r>
      <w:hyperlink r:id="rId38">
        <w:r>
          <w:rPr>
            <w:color w:val="1D5FD1"/>
            <w:u w:val="single"/>
            <w:sz w:val="17"/>
            <w:szCs w:val="17"/>
            <w:rFonts w:ascii="Calibri" w:hAnsi="Calibri" w:eastAsia="Hiragino Sans GB"/>
          </w:rPr>
          <w:t>MSFT</w:t>
        </w:r>
      </w:hyperlink>
      <w:r>
        <w:t xml:space="preserve"> · </w:t>
      </w:r>
      <w:hyperlink r:id="rId39">
        <w:r>
          <w:rPr>
            <w:color w:val="1D5FD1"/>
            <w:u w:val="single"/>
            <w:sz w:val="17"/>
            <w:szCs w:val="17"/>
            <w:rFonts w:ascii="Calibri" w:hAnsi="Calibri" w:eastAsia="Hiragino Sans GB"/>
          </w:rPr>
          <w:t>META</w:t>
        </w:r>
      </w:hyperlink>
      <w:r>
        <w:t xml:space="preserve"> · </w:t>
      </w:r>
      <w:hyperlink r:id="rId40">
        <w:r>
          <w:rPr>
            <w:color w:val="1D5FD1"/>
            <w:u w:val="single"/>
            <w:sz w:val="17"/>
            <w:szCs w:val="17"/>
            <w:rFonts w:ascii="Calibri" w:hAnsi="Calibri" w:eastAsia="Hiragino Sans GB"/>
          </w:rPr>
          <w:t>GEV</w:t>
        </w:r>
      </w:hyperlink>
      <w:r>
        <w:t xml:space="preserve"> · </w:t>
      </w:r>
      <w:hyperlink r:id="rId41">
        <w:r>
          <w:rPr>
            <w:color w:val="1D5FD1"/>
            <w:u w:val="single"/>
            <w:sz w:val="17"/>
            <w:szCs w:val="17"/>
            <w:rFonts w:ascii="Calibri" w:hAnsi="Calibri" w:eastAsia="Hiragino Sans GB"/>
          </w:rPr>
          <w:t>ETN</w:t>
        </w:r>
      </w:hyperlink>
      <w:r>
        <w:t xml:space="preserve"> · </w:t>
      </w:r>
      <w:hyperlink r:id="rId42">
        <w:r>
          <w:rPr>
            <w:color w:val="1D5FD1"/>
            <w:u w:val="single"/>
            <w:sz w:val="17"/>
            <w:szCs w:val="17"/>
            <w:rFonts w:ascii="Calibri" w:hAnsi="Calibri" w:eastAsia="Hiragino Sans GB"/>
          </w:rPr>
          <w:t>CEG</w:t>
        </w:r>
      </w:hyperlink>
      <w:r>
        <w:t xml:space="preserve"> · </w:t>
      </w:r>
      <w:hyperlink r:id="rId43">
        <w:r>
          <w:rPr>
            <w:color w:val="1D5FD1"/>
            <w:u w:val="single"/>
            <w:sz w:val="17"/>
            <w:szCs w:val="17"/>
            <w:rFonts w:ascii="Calibri" w:hAnsi="Calibri" w:eastAsia="Hiragino Sans GB"/>
          </w:rPr>
          <w:t>VST</w:t>
        </w:r>
      </w:hyperlink>
    </w:p>
    <w:p>
      <w:pPr>
        <w:keepNext/>
      </w:pPr>
      <w:r>
        <w:rPr>
          <w:rFonts w:ascii="Calibri" w:hAnsi="Calibri" w:eastAsia="Hiragino Sans GB"/>
          <w:b/>
          <w:color w:val="D85B16"/>
          <w:sz w:val="18"/>
        </w:rPr>
        <w:t xml:space="preserve">03  SPLIT  </w:t>
      </w:r>
      <w:r>
        <w:rPr>
          <w:rFonts w:ascii="Calibri" w:hAnsi="Calibri" w:eastAsia="Hiragino Sans GB"/>
          <w:b/>
          <w:color w:val="111111"/>
          <w:sz w:val="22"/>
        </w:rPr>
        <w:t>挑战主导观点：硬科技复苏不能由研究热度替代资金与订单确认</w:t>
      </w:r>
    </w:p>
    <w:p>
      <w:pPr>
        <w:keepLines w:val="0"/>
      </w:pPr>
      <w:r>
        <w:rPr>
          <w:rFonts w:ascii="Calibri" w:hAnsi="Calibri" w:eastAsia="Hiragino Sans GB"/>
          <w:b w:val="0"/>
          <w:color w:val="111111"/>
          <w:sz w:val="22"/>
        </w:rPr>
        <w:t>支持证据指向半导体国产化和电力设备订单，但挑战证据同时显示电子、PCB与科创50仍受融资拥挤、次生管制和边际定价脱离基本面的约束。由此，A股硬科技主线只能维持分层观察，不能因报告数量增加而推断资金已流入或价格已经确认。</w:t>
      </w:r>
    </w:p>
    <w:p>
      <w:pPr>
        <w:pStyle w:val="TableCitation"/>
      </w:pPr>
      <w:r>
        <w:t>关联标的：</w:t>
      </w:r>
      <w:hyperlink r:id="rId44">
        <w:r>
          <w:rPr>
            <w:color w:val="1D5FD1"/>
            <w:u w:val="single"/>
            <w:sz w:val="17"/>
            <w:szCs w:val="17"/>
            <w:rFonts w:ascii="Calibri" w:hAnsi="Calibri" w:eastAsia="Hiragino Sans GB"/>
          </w:rPr>
          <w:t>588000.SH</w:t>
        </w:r>
      </w:hyperlink>
      <w:r>
        <w:t xml:space="preserve"> · </w:t>
      </w:r>
      <w:hyperlink r:id="rId45">
        <w:r>
          <w:rPr>
            <w:color w:val="1D5FD1"/>
            <w:u w:val="single"/>
            <w:sz w:val="17"/>
            <w:szCs w:val="17"/>
            <w:rFonts w:ascii="Calibri" w:hAnsi="Calibri" w:eastAsia="Hiragino Sans GB"/>
          </w:rPr>
          <w:t>688256.SH</w:t>
        </w:r>
      </w:hyperlink>
      <w:r>
        <w:t xml:space="preserve"> · </w:t>
      </w:r>
      <w:hyperlink r:id="rId46">
        <w:r>
          <w:rPr>
            <w:color w:val="1D5FD1"/>
            <w:u w:val="single"/>
            <w:sz w:val="17"/>
            <w:szCs w:val="17"/>
            <w:rFonts w:ascii="Calibri" w:hAnsi="Calibri" w:eastAsia="Hiragino Sans GB"/>
          </w:rPr>
          <w:t>688981.SH</w:t>
        </w:r>
      </w:hyperlink>
      <w:r>
        <w:t xml:space="preserve"> · </w:t>
      </w:r>
      <w:hyperlink r:id="rId47">
        <w:r>
          <w:rPr>
            <w:color w:val="1D5FD1"/>
            <w:u w:val="single"/>
            <w:sz w:val="17"/>
            <w:szCs w:val="17"/>
            <w:rFonts w:ascii="Calibri" w:hAnsi="Calibri" w:eastAsia="Hiragino Sans GB"/>
          </w:rPr>
          <w:t>688041.SH</w:t>
        </w:r>
      </w:hyperlink>
      <w:r>
        <w:t xml:space="preserve"> · </w:t>
      </w:r>
      <w:hyperlink r:id="rId48">
        <w:r>
          <w:rPr>
            <w:color w:val="1D5FD1"/>
            <w:u w:val="single"/>
            <w:sz w:val="17"/>
            <w:szCs w:val="17"/>
            <w:rFonts w:ascii="Calibri" w:hAnsi="Calibri" w:eastAsia="Hiragino Sans GB"/>
          </w:rPr>
          <w:t>300308.SZ</w:t>
        </w:r>
      </w:hyperlink>
    </w:p>
    <w:p>
      <w:pPr>
        <w:keepNext/>
      </w:pPr>
      <w:r>
        <w:rPr>
          <w:rFonts w:ascii="Calibri" w:hAnsi="Calibri" w:eastAsia="Hiragino Sans GB"/>
          <w:b/>
          <w:color w:val="D85B16"/>
          <w:sz w:val="18"/>
        </w:rPr>
        <w:t xml:space="preserve">04  SPLIT  </w:t>
      </w:r>
      <w:r>
        <w:rPr>
          <w:rFonts w:ascii="Calibri" w:hAnsi="Calibri" w:eastAsia="Hiragino Sans GB"/>
          <w:b/>
          <w:color w:val="111111"/>
          <w:sz w:val="22"/>
        </w:rPr>
        <w:t>红利逻辑由宽泛防守收窄至盈利质量与流动性上限</w:t>
      </w:r>
    </w:p>
    <w:p>
      <w:pPr>
        <w:keepLines w:val="0"/>
      </w:pPr>
      <w:r>
        <w:rPr>
          <w:rFonts w:ascii="Calibri" w:hAnsi="Calibri" w:eastAsia="Hiragino Sans GB"/>
          <w:b w:val="0"/>
          <w:color w:val="111111"/>
          <w:sz w:val="22"/>
        </w:rPr>
        <w:t>容量电价和辅助服务市场化继续支撑公用事业盈利重构，但红利低波与电力ETF的微观流动性压力测试要求设置仓位上限。杠铃的红利端仍是组合锚，却不再等同于无条件安全资产。</w:t>
      </w:r>
    </w:p>
    <w:p>
      <w:pPr>
        <w:pStyle w:val="TableCitation"/>
      </w:pPr>
      <w:r>
        <w:t>关联标的：</w:t>
      </w:r>
      <w:hyperlink r:id="rId36">
        <w:r>
          <w:rPr>
            <w:color w:val="1D5FD1"/>
            <w:u w:val="single"/>
            <w:sz w:val="17"/>
            <w:szCs w:val="17"/>
            <w:rFonts w:ascii="Calibri" w:hAnsi="Calibri" w:eastAsia="Hiragino Sans GB"/>
          </w:rPr>
          <w:t>600900.SH</w:t>
        </w:r>
      </w:hyperlink>
      <w:r>
        <w:t xml:space="preserve"> · </w:t>
      </w:r>
      <w:hyperlink r:id="rId49">
        <w:r>
          <w:rPr>
            <w:color w:val="1D5FD1"/>
            <w:u w:val="single"/>
            <w:sz w:val="17"/>
            <w:szCs w:val="17"/>
            <w:rFonts w:ascii="Calibri" w:hAnsi="Calibri" w:eastAsia="Hiragino Sans GB"/>
          </w:rPr>
          <w:t>510880.SH</w:t>
        </w:r>
      </w:hyperlink>
      <w:r>
        <w:t xml:space="preserve"> · </w:t>
      </w:r>
      <w:hyperlink r:id="rId50">
        <w:r>
          <w:rPr>
            <w:color w:val="1D5FD1"/>
            <w:u w:val="single"/>
            <w:sz w:val="17"/>
            <w:szCs w:val="17"/>
            <w:rFonts w:ascii="Calibri" w:hAnsi="Calibri" w:eastAsia="Hiragino Sans GB"/>
          </w:rPr>
          <w:t>601088.SH</w:t>
        </w:r>
      </w:hyperlink>
      <w:r>
        <w:t xml:space="preserve"> · </w:t>
      </w:r>
      <w:hyperlink r:id="rId51">
        <w:r>
          <w:rPr>
            <w:color w:val="1D5FD1"/>
            <w:u w:val="single"/>
            <w:sz w:val="17"/>
            <w:szCs w:val="17"/>
            <w:rFonts w:ascii="Calibri" w:hAnsi="Calibri" w:eastAsia="Hiragino Sans GB"/>
          </w:rPr>
          <w:t>601398.SH</w:t>
        </w:r>
      </w:hyperlink>
      <w:r>
        <w:t xml:space="preserve"> · </w:t>
      </w:r>
      <w:hyperlink r:id="rId52">
        <w:r>
          <w:rPr>
            <w:color w:val="1D5FD1"/>
            <w:u w:val="single"/>
            <w:sz w:val="17"/>
            <w:szCs w:val="17"/>
            <w:rFonts w:ascii="Calibri" w:hAnsi="Calibri" w:eastAsia="Hiragino Sans GB"/>
          </w:rPr>
          <w:t>DUK</w:t>
        </w:r>
      </w:hyperlink>
    </w:p>
    <w:p>
      <w:pPr>
        <w:keepNext/>
      </w:pPr>
      <w:r>
        <w:rPr>
          <w:rFonts w:ascii="Calibri" w:hAnsi="Calibri" w:eastAsia="Hiragino Sans GB"/>
          <w:b/>
          <w:color w:val="D85B16"/>
          <w:sz w:val="18"/>
        </w:rPr>
        <w:t xml:space="preserve">05  UNCHANGED_BUT_IMPORTANT  </w:t>
      </w:r>
      <w:r>
        <w:rPr>
          <w:rFonts w:ascii="Calibri" w:hAnsi="Calibri" w:eastAsia="Hiragino Sans GB"/>
          <w:b/>
          <w:color w:val="111111"/>
          <w:sz w:val="22"/>
        </w:rPr>
        <w:t>AI再通胀链仍成立，但宏观传导尚未闭环</w:t>
      </w:r>
    </w:p>
    <w:p>
      <w:pPr>
        <w:keepLines w:val="0"/>
      </w:pPr>
      <w:r>
        <w:rPr>
          <w:rFonts w:ascii="Calibri" w:hAnsi="Calibri" w:eastAsia="Hiragino Sans GB"/>
          <w:b w:val="0"/>
          <w:color w:val="111111"/>
          <w:sz w:val="22"/>
        </w:rPr>
        <w:t>能源、设备与融资成本构成再通胀入口的证据增加；反向证据则提示生产资料价格未必传导至核心通胀，政策也可能选择穿透观察。该主线的重要性不变，但在CPI/PCE和实际利率确认前仍不能升级。</w:t>
      </w:r>
    </w:p>
    <w:p>
      <w:pPr>
        <w:pStyle w:val="TableCitation"/>
      </w:pPr>
      <w:r>
        <w:t>关联标的：</w:t>
      </w:r>
      <w:hyperlink r:id="rId53">
        <w:r>
          <w:rPr>
            <w:color w:val="1D5FD1"/>
            <w:u w:val="single"/>
            <w:sz w:val="17"/>
            <w:szCs w:val="17"/>
            <w:rFonts w:ascii="Calibri" w:hAnsi="Calibri" w:eastAsia="Hiragino Sans GB"/>
          </w:rPr>
          <w:t>TLT</w:t>
        </w:r>
      </w:hyperlink>
      <w:r>
        <w:t xml:space="preserve"> · </w:t>
      </w:r>
      <w:hyperlink r:id="rId54">
        <w:r>
          <w:rPr>
            <w:color w:val="1D5FD1"/>
            <w:u w:val="single"/>
            <w:sz w:val="17"/>
            <w:szCs w:val="17"/>
            <w:rFonts w:ascii="Calibri" w:hAnsi="Calibri" w:eastAsia="Hiragino Sans GB"/>
          </w:rPr>
          <w:t>IEF</w:t>
        </w:r>
      </w:hyperlink>
      <w:r>
        <w:t xml:space="preserve"> · </w:t>
      </w:r>
      <w:hyperlink r:id="rId35">
        <w:r>
          <w:rPr>
            <w:color w:val="1D5FD1"/>
            <w:u w:val="single"/>
            <w:sz w:val="17"/>
            <w:szCs w:val="17"/>
            <w:rFonts w:ascii="Calibri" w:hAnsi="Calibri" w:eastAsia="Hiragino Sans GB"/>
          </w:rPr>
          <w:t>XLE</w:t>
        </w:r>
      </w:hyperlink>
      <w:r>
        <w:t xml:space="preserve"> · </w:t>
      </w:r>
      <w:hyperlink r:id="rId55">
        <w:r>
          <w:rPr>
            <w:color w:val="1D5FD1"/>
            <w:u w:val="single"/>
            <w:sz w:val="17"/>
            <w:szCs w:val="17"/>
            <w:rFonts w:ascii="Calibri" w:hAnsi="Calibri" w:eastAsia="Hiragino Sans GB"/>
          </w:rPr>
          <w:t>GLD</w:t>
        </w:r>
      </w:hyperlink>
      <w:r>
        <w:t xml:space="preserve"> · </w:t>
      </w:r>
      <w:hyperlink r:id="rId38">
        <w:r>
          <w:rPr>
            <w:color w:val="1D5FD1"/>
            <w:u w:val="single"/>
            <w:sz w:val="17"/>
            <w:szCs w:val="17"/>
            <w:rFonts w:ascii="Calibri" w:hAnsi="Calibri" w:eastAsia="Hiragino Sans GB"/>
          </w:rPr>
          <w:t>MSFT</w:t>
        </w:r>
      </w:hyperlink>
    </w:p>
    <w:p>
      <w:pPr>
        <w:pStyle w:val="Heading1"/>
      </w:pPr>
      <w:r>
        <w:t>5. 赛道配置与下一催化</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600"/>
        <w:gridCol w:w="1250"/>
        <w:gridCol w:w="2300"/>
        <w:gridCol w:w="2550"/>
        <w:gridCol w:w="2660"/>
      </w:tblGrid>
      <w:tr>
        <w:trPr>
          <w:cantSplit/>
          <w:tblHeader w:val="true"/>
        </w:trPr>
        <w:tc>
          <w:tcPr>
            <w:tcW w:type="dxa" w:w="6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5"/>
              </w:rPr>
              <w:t>RANK</w:t>
            </w:r>
          </w:p>
        </w:tc>
        <w:tc>
          <w:tcPr>
            <w:tcW w:type="dxa" w:w="12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5"/>
              </w:rPr>
              <w:t>STANCE</w:t>
            </w:r>
          </w:p>
        </w:tc>
        <w:tc>
          <w:tcPr>
            <w:tcW w:type="dxa" w:w="23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5"/>
              </w:rPr>
              <w:t>LANE</w:t>
            </w:r>
          </w:p>
        </w:tc>
        <w:tc>
          <w:tcPr>
            <w:tcW w:type="dxa" w:w="25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5"/>
              </w:rPr>
              <w:t>NEXT CATALYST</w:t>
            </w:r>
          </w:p>
        </w:tc>
        <w:tc>
          <w:tcPr>
            <w:tcW w:type="dxa" w:w="266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5"/>
              </w:rPr>
              <w:t>KEY EXPOSURES</w:t>
            </w:r>
          </w:p>
        </w:tc>
      </w:tr>
      <w:tr>
        <w:trPr>
          <w:cantSplit/>
        </w:trPr>
        <w:tc>
          <w:tcPr>
            <w:tcW w:type="dxa" w:w="600"/>
            <w:tcMar>
              <w:top w:w="80" w:type="dxa"/>
              <w:bottom w:w="80" w:type="dxa"/>
              <w:start w:w="120" w:type="dxa"/>
              <w:end w:w="120" w:type="dxa"/>
            </w:tcMar>
          </w:tcPr>
          <w:p>
            <w:pPr>
              <w:spacing w:before="0" w:after="0" w:line="252" w:lineRule="auto"/>
            </w:pPr>
            <w:r>
              <w:rPr>
                <w:rFonts w:ascii="Calibri" w:hAnsi="Calibri" w:eastAsia="Hiragino Sans GB"/>
                <w:b/>
                <w:color w:val="111111"/>
                <w:sz w:val="16"/>
              </w:rPr>
              <w:t>1</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5"/>
              </w:rPr>
              <w:t>NEUTRAL</w:t>
            </w:r>
          </w:p>
        </w:tc>
        <w:tc>
          <w:tcPr>
            <w:tcW w:type="dxa" w:w="2300"/>
            <w:tcMar>
              <w:top w:w="80" w:type="dxa"/>
              <w:bottom w:w="80" w:type="dxa"/>
              <w:start w:w="120" w:type="dxa"/>
              <w:end w:w="120" w:type="dxa"/>
            </w:tcMar>
          </w:tcPr>
          <w:p>
            <w:hyperlink r:id="rId56">
              <w:r>
                <w:rPr>
                  <w:color w:val="1D5FD1"/>
                  <w:u w:val="single"/>
                  <w:b/>
                  <w:sz w:val="16"/>
                  <w:szCs w:val="16"/>
                  <w:rFonts w:ascii="Calibri" w:hAnsi="Calibri" w:eastAsia="Hiragino Sans GB"/>
                </w:rPr>
                <w:t>AI 电力/电网设备</w:t>
              </w:r>
            </w:hyperlink>
          </w:p>
        </w:tc>
        <w:tc>
          <w:tcPr>
            <w:tcW w:type="dxa" w:w="255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并网排队和变压器交期是否继续拉长</w:t>
            </w:r>
          </w:p>
        </w:tc>
        <w:tc>
          <w:tcPr>
            <w:tcW w:type="dxa" w:w="26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GEV · 002028.SZ · ETN · VST · 601179.SH · 600089.SH</w:t>
            </w:r>
          </w:p>
        </w:tc>
      </w:tr>
      <w:tr>
        <w:trPr>
          <w:cantSplit/>
        </w:trPr>
        <w:tc>
          <w:tcPr>
            <w:tcW w:type="dxa" w:w="600"/>
            <w:tcMar>
              <w:top w:w="80" w:type="dxa"/>
              <w:bottom w:w="80" w:type="dxa"/>
              <w:start w:w="120" w:type="dxa"/>
              <w:end w:w="120" w:type="dxa"/>
            </w:tcMar>
          </w:tcPr>
          <w:p>
            <w:pPr>
              <w:spacing w:before="0" w:after="0" w:line="252" w:lineRule="auto"/>
            </w:pPr>
            <w:r>
              <w:rPr>
                <w:rFonts w:ascii="Calibri" w:hAnsi="Calibri" w:eastAsia="Hiragino Sans GB"/>
                <w:b/>
                <w:color w:val="111111"/>
                <w:sz w:val="16"/>
              </w:rPr>
              <w:t>2</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5"/>
              </w:rPr>
              <w:t>NEUTRAL</w:t>
            </w:r>
          </w:p>
        </w:tc>
        <w:tc>
          <w:tcPr>
            <w:tcW w:type="dxa" w:w="2300"/>
            <w:tcMar>
              <w:top w:w="80" w:type="dxa"/>
              <w:bottom w:w="80" w:type="dxa"/>
              <w:start w:w="120" w:type="dxa"/>
              <w:end w:w="120" w:type="dxa"/>
            </w:tcMar>
          </w:tcPr>
          <w:p>
            <w:hyperlink r:id="rId57">
              <w:r>
                <w:rPr>
                  <w:color w:val="1D5FD1"/>
                  <w:u w:val="single"/>
                  <w:b/>
                  <w:sz w:val="16"/>
                  <w:szCs w:val="16"/>
                  <w:rFonts w:ascii="Calibri" w:hAnsi="Calibri" w:eastAsia="Hiragino Sans GB"/>
                </w:rPr>
                <w:t>A股半导体/两融负 Gamma</w:t>
              </w:r>
            </w:hyperlink>
          </w:p>
        </w:tc>
        <w:tc>
          <w:tcPr>
            <w:tcW w:type="dxa" w:w="255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融资余额、ETF 申赎和北向资金是否同向</w:t>
            </w:r>
          </w:p>
        </w:tc>
        <w:tc>
          <w:tcPr>
            <w:tcW w:type="dxa" w:w="26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688256.SH · 688981.SH · 0981.HK · 688041.SH · 588000.SH · 688008.SH</w:t>
            </w:r>
          </w:p>
        </w:tc>
      </w:tr>
      <w:tr>
        <w:trPr>
          <w:cantSplit/>
        </w:trPr>
        <w:tc>
          <w:tcPr>
            <w:tcW w:type="dxa" w:w="600"/>
            <w:tcMar>
              <w:top w:w="80" w:type="dxa"/>
              <w:bottom w:w="80" w:type="dxa"/>
              <w:start w:w="120" w:type="dxa"/>
              <w:end w:w="120" w:type="dxa"/>
            </w:tcMar>
          </w:tcPr>
          <w:p>
            <w:pPr>
              <w:spacing w:before="0" w:after="0" w:line="252" w:lineRule="auto"/>
            </w:pPr>
            <w:r>
              <w:rPr>
                <w:rFonts w:ascii="Calibri" w:hAnsi="Calibri" w:eastAsia="Hiragino Sans GB"/>
                <w:b/>
                <w:color w:val="111111"/>
                <w:sz w:val="16"/>
              </w:rPr>
              <w:t>3</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5"/>
              </w:rPr>
              <w:t>UNDERWEIGHT</w:t>
            </w:r>
          </w:p>
        </w:tc>
        <w:tc>
          <w:tcPr>
            <w:tcW w:type="dxa" w:w="2300"/>
            <w:tcMar>
              <w:top w:w="80" w:type="dxa"/>
              <w:bottom w:w="80" w:type="dxa"/>
              <w:start w:w="120" w:type="dxa"/>
              <w:end w:w="120" w:type="dxa"/>
            </w:tcMar>
          </w:tcPr>
          <w:p>
            <w:hyperlink r:id="rId58">
              <w:r>
                <w:rPr>
                  <w:color w:val="1D5FD1"/>
                  <w:u w:val="single"/>
                  <w:b/>
                  <w:sz w:val="16"/>
                  <w:szCs w:val="16"/>
                  <w:rFonts w:ascii="Calibri" w:hAnsi="Calibri" w:eastAsia="Hiragino Sans GB"/>
                </w:rPr>
                <w:t>A股风险偏好/两融</w:t>
              </w:r>
            </w:hyperlink>
          </w:p>
        </w:tc>
        <w:tc>
          <w:tcPr>
            <w:tcW w:type="dxa" w:w="255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融资余额、ETF 申赎和北向资金是否同向</w:t>
            </w:r>
          </w:p>
        </w:tc>
        <w:tc>
          <w:tcPr>
            <w:tcW w:type="dxa" w:w="26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588000.SH · 510300.SH · 512100.SH · 688729.SH · 300308.SZ · 600900.SH</w:t>
            </w:r>
          </w:p>
        </w:tc>
      </w:tr>
      <w:tr>
        <w:trPr>
          <w:cantSplit/>
        </w:trPr>
        <w:tc>
          <w:tcPr>
            <w:tcW w:type="dxa" w:w="600"/>
            <w:tcMar>
              <w:top w:w="80" w:type="dxa"/>
              <w:bottom w:w="80" w:type="dxa"/>
              <w:start w:w="120" w:type="dxa"/>
              <w:end w:w="120" w:type="dxa"/>
            </w:tcMar>
          </w:tcPr>
          <w:p>
            <w:pPr>
              <w:spacing w:before="0" w:after="0" w:line="252" w:lineRule="auto"/>
            </w:pPr>
            <w:r>
              <w:rPr>
                <w:rFonts w:ascii="Calibri" w:hAnsi="Calibri" w:eastAsia="Hiragino Sans GB"/>
                <w:b/>
                <w:color w:val="111111"/>
                <w:sz w:val="16"/>
              </w:rPr>
              <w:t>4</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5"/>
              </w:rPr>
              <w:t>NEUTRAL</w:t>
            </w:r>
          </w:p>
        </w:tc>
        <w:tc>
          <w:tcPr>
            <w:tcW w:type="dxa" w:w="2300"/>
            <w:tcMar>
              <w:top w:w="80" w:type="dxa"/>
              <w:bottom w:w="80" w:type="dxa"/>
              <w:start w:w="120" w:type="dxa"/>
              <w:end w:w="120" w:type="dxa"/>
            </w:tcMar>
          </w:tcPr>
          <w:p>
            <w:hyperlink r:id="rId59">
              <w:r>
                <w:rPr>
                  <w:color w:val="1D5FD1"/>
                  <w:u w:val="single"/>
                  <w:b/>
                  <w:sz w:val="16"/>
                  <w:szCs w:val="16"/>
                  <w:rFonts w:ascii="Calibri" w:hAnsi="Calibri" w:eastAsia="Hiragino Sans GB"/>
                </w:rPr>
                <w:t>先进封装/HBM4 闸门</w:t>
              </w:r>
            </w:hyperlink>
          </w:p>
        </w:tc>
        <w:tc>
          <w:tcPr>
            <w:tcW w:type="dxa" w:w="255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融资余额、ETF 申赎和北向资金是否同向</w:t>
            </w:r>
          </w:p>
        </w:tc>
        <w:tc>
          <w:tcPr>
            <w:tcW w:type="dxa" w:w="26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NVDA · TSM · 000660.KS · MU · ASML · 002916.SZ</w:t>
            </w:r>
          </w:p>
        </w:tc>
      </w:tr>
      <w:tr>
        <w:trPr>
          <w:cantSplit/>
        </w:trPr>
        <w:tc>
          <w:tcPr>
            <w:tcW w:type="dxa" w:w="600"/>
            <w:tcMar>
              <w:top w:w="80" w:type="dxa"/>
              <w:bottom w:w="80" w:type="dxa"/>
              <w:start w:w="120" w:type="dxa"/>
              <w:end w:w="120" w:type="dxa"/>
            </w:tcMar>
          </w:tcPr>
          <w:p>
            <w:pPr>
              <w:spacing w:before="0" w:after="0" w:line="252" w:lineRule="auto"/>
            </w:pPr>
            <w:r>
              <w:rPr>
                <w:rFonts w:ascii="Calibri" w:hAnsi="Calibri" w:eastAsia="Hiragino Sans GB"/>
                <w:b/>
                <w:color w:val="111111"/>
                <w:sz w:val="16"/>
              </w:rPr>
              <w:t>5</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5"/>
              </w:rPr>
              <w:t>NEUTRAL</w:t>
            </w:r>
          </w:p>
        </w:tc>
        <w:tc>
          <w:tcPr>
            <w:tcW w:type="dxa" w:w="2300"/>
            <w:tcMar>
              <w:top w:w="80" w:type="dxa"/>
              <w:bottom w:w="80" w:type="dxa"/>
              <w:start w:w="120" w:type="dxa"/>
              <w:end w:w="120" w:type="dxa"/>
            </w:tcMar>
          </w:tcPr>
          <w:p>
            <w:hyperlink r:id="rId12">
              <w:r>
                <w:rPr>
                  <w:color w:val="1D5FD1"/>
                  <w:u w:val="single"/>
                  <w:b/>
                  <w:sz w:val="16"/>
                  <w:szCs w:val="16"/>
                  <w:rFonts w:ascii="Calibri" w:hAnsi="Calibri" w:eastAsia="Hiragino Sans GB"/>
                </w:rPr>
                <w:t>油气/地缘通胀</w:t>
              </w:r>
            </w:hyperlink>
          </w:p>
        </w:tc>
        <w:tc>
          <w:tcPr>
            <w:tcW w:type="dxa" w:w="255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油价和金属缺口是否从成本冲击变成需求破坏</w:t>
            </w:r>
          </w:p>
        </w:tc>
        <w:tc>
          <w:tcPr>
            <w:tcW w:type="dxa" w:w="26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0883.HK · SLB · OXY · CVX · XOM · 0857.HK</w:t>
            </w:r>
          </w:p>
        </w:tc>
      </w:tr>
      <w:tr>
        <w:trPr>
          <w:cantSplit/>
        </w:trPr>
        <w:tc>
          <w:tcPr>
            <w:tcW w:type="dxa" w:w="600"/>
            <w:tcMar>
              <w:top w:w="80" w:type="dxa"/>
              <w:bottom w:w="80" w:type="dxa"/>
              <w:start w:w="120" w:type="dxa"/>
              <w:end w:w="120" w:type="dxa"/>
            </w:tcMar>
          </w:tcPr>
          <w:p>
            <w:pPr>
              <w:spacing w:before="0" w:after="0" w:line="252" w:lineRule="auto"/>
            </w:pPr>
            <w:r>
              <w:rPr>
                <w:rFonts w:ascii="Calibri" w:hAnsi="Calibri" w:eastAsia="Hiragino Sans GB"/>
                <w:b/>
                <w:color w:val="111111"/>
                <w:sz w:val="16"/>
              </w:rPr>
              <w:t>6</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5"/>
              </w:rPr>
              <w:t>NEUTRAL</w:t>
            </w:r>
          </w:p>
        </w:tc>
        <w:tc>
          <w:tcPr>
            <w:tcW w:type="dxa" w:w="2300"/>
            <w:tcMar>
              <w:top w:w="80" w:type="dxa"/>
              <w:bottom w:w="80" w:type="dxa"/>
              <w:start w:w="120" w:type="dxa"/>
              <w:end w:w="120" w:type="dxa"/>
            </w:tcMar>
          </w:tcPr>
          <w:p>
            <w:hyperlink r:id="rId60">
              <w:r>
                <w:rPr>
                  <w:color w:val="1D5FD1"/>
                  <w:u w:val="single"/>
                  <w:b/>
                  <w:sz w:val="16"/>
                  <w:szCs w:val="16"/>
                  <w:rFonts w:ascii="Calibri" w:hAnsi="Calibri" w:eastAsia="Hiragino Sans GB"/>
                </w:rPr>
                <w:t>公用事业/电网信用</w:t>
              </w:r>
            </w:hyperlink>
          </w:p>
        </w:tc>
        <w:tc>
          <w:tcPr>
            <w:tcW w:type="dxa" w:w="255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并网排队和变压器交期是否继续拉长</w:t>
            </w:r>
          </w:p>
        </w:tc>
        <w:tc>
          <w:tcPr>
            <w:tcW w:type="dxa" w:w="26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600900.SH · DUK · CEG · AEP · 600905.SH · 600025.SH</w:t>
            </w:r>
          </w:p>
        </w:tc>
      </w:tr>
      <w:tr>
        <w:trPr>
          <w:cantSplit/>
        </w:trPr>
        <w:tc>
          <w:tcPr>
            <w:tcW w:type="dxa" w:w="600"/>
            <w:tcMar>
              <w:top w:w="80" w:type="dxa"/>
              <w:bottom w:w="80" w:type="dxa"/>
              <w:start w:w="120" w:type="dxa"/>
              <w:end w:w="120" w:type="dxa"/>
            </w:tcMar>
          </w:tcPr>
          <w:p>
            <w:pPr>
              <w:spacing w:before="0" w:after="0" w:line="252" w:lineRule="auto"/>
            </w:pPr>
            <w:r>
              <w:rPr>
                <w:rFonts w:ascii="Calibri" w:hAnsi="Calibri" w:eastAsia="Hiragino Sans GB"/>
                <w:b/>
                <w:color w:val="111111"/>
                <w:sz w:val="16"/>
              </w:rPr>
              <w:t>7</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5"/>
              </w:rPr>
              <w:t>NEUTRAL</w:t>
            </w:r>
          </w:p>
        </w:tc>
        <w:tc>
          <w:tcPr>
            <w:tcW w:type="dxa" w:w="2300"/>
            <w:tcMar>
              <w:top w:w="80" w:type="dxa"/>
              <w:bottom w:w="80" w:type="dxa"/>
              <w:start w:w="120" w:type="dxa"/>
              <w:end w:w="120" w:type="dxa"/>
            </w:tcMar>
          </w:tcPr>
          <w:p>
            <w:hyperlink r:id="rId61">
              <w:r>
                <w:rPr>
                  <w:color w:val="1D5FD1"/>
                  <w:u w:val="single"/>
                  <w:b/>
                  <w:sz w:val="16"/>
                  <w:szCs w:val="16"/>
                  <w:rFonts w:ascii="Calibri" w:hAnsi="Calibri" w:eastAsia="Hiragino Sans GB"/>
                </w:rPr>
                <w:t>美债利率/美元再定价</w:t>
              </w:r>
            </w:hyperlink>
          </w:p>
        </w:tc>
        <w:tc>
          <w:tcPr>
            <w:tcW w:type="dxa" w:w="255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CPI/PCE 与油价是否重新推高实际利率</w:t>
            </w:r>
          </w:p>
        </w:tc>
        <w:tc>
          <w:tcPr>
            <w:tcW w:type="dxa" w:w="26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TLT · IEF · JPM · UUP · CME · GLD</w:t>
            </w:r>
          </w:p>
        </w:tc>
      </w:tr>
      <w:tr>
        <w:trPr>
          <w:cantSplit/>
        </w:trPr>
        <w:tc>
          <w:tcPr>
            <w:tcW w:type="dxa" w:w="600"/>
            <w:tcMar>
              <w:top w:w="80" w:type="dxa"/>
              <w:bottom w:w="80" w:type="dxa"/>
              <w:start w:w="120" w:type="dxa"/>
              <w:end w:w="120" w:type="dxa"/>
            </w:tcMar>
          </w:tcPr>
          <w:p>
            <w:pPr>
              <w:spacing w:before="0" w:after="0" w:line="252" w:lineRule="auto"/>
            </w:pPr>
            <w:r>
              <w:rPr>
                <w:rFonts w:ascii="Calibri" w:hAnsi="Calibri" w:eastAsia="Hiragino Sans GB"/>
                <w:b/>
                <w:color w:val="111111"/>
                <w:sz w:val="16"/>
              </w:rPr>
              <w:t>8</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5"/>
              </w:rPr>
              <w:t>NEUTRAL</w:t>
            </w:r>
          </w:p>
        </w:tc>
        <w:tc>
          <w:tcPr>
            <w:tcW w:type="dxa" w:w="2300"/>
            <w:tcMar>
              <w:top w:w="80" w:type="dxa"/>
              <w:bottom w:w="80" w:type="dxa"/>
              <w:start w:w="120" w:type="dxa"/>
              <w:end w:w="120" w:type="dxa"/>
            </w:tcMar>
          </w:tcPr>
          <w:p>
            <w:hyperlink r:id="rId62">
              <w:r>
                <w:rPr>
                  <w:color w:val="1D5FD1"/>
                  <w:u w:val="single"/>
                  <w:b/>
                  <w:sz w:val="16"/>
                  <w:szCs w:val="16"/>
                  <w:rFonts w:ascii="Calibri" w:hAnsi="Calibri" w:eastAsia="Hiragino Sans GB"/>
                </w:rPr>
                <w:t>人民币/美元流动性敏感资产</w:t>
              </w:r>
            </w:hyperlink>
          </w:p>
        </w:tc>
        <w:tc>
          <w:tcPr>
            <w:tcW w:type="dxa" w:w="255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期权伽马和 ETF 资金是否放大尾盘流动性</w:t>
            </w:r>
          </w:p>
        </w:tc>
        <w:tc>
          <w:tcPr>
            <w:tcW w:type="dxa" w:w="26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UUP · FXI · 2800.HK · 600900.SH · CME · 0700.HK</w:t>
            </w:r>
          </w:p>
        </w:tc>
      </w:tr>
      <w:tr>
        <w:trPr>
          <w:cantSplit/>
        </w:trPr>
        <w:tc>
          <w:tcPr>
            <w:tcW w:type="dxa" w:w="600"/>
            <w:tcMar>
              <w:top w:w="80" w:type="dxa"/>
              <w:bottom w:w="80" w:type="dxa"/>
              <w:start w:w="120" w:type="dxa"/>
              <w:end w:w="120" w:type="dxa"/>
            </w:tcMar>
          </w:tcPr>
          <w:p>
            <w:pPr>
              <w:spacing w:before="0" w:after="0" w:line="252" w:lineRule="auto"/>
            </w:pPr>
            <w:r>
              <w:rPr>
                <w:rFonts w:ascii="Calibri" w:hAnsi="Calibri" w:eastAsia="Hiragino Sans GB"/>
                <w:b/>
                <w:color w:val="111111"/>
                <w:sz w:val="16"/>
              </w:rPr>
              <w:t>9</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5"/>
              </w:rPr>
              <w:t>NEUTRAL</w:t>
            </w:r>
          </w:p>
        </w:tc>
        <w:tc>
          <w:tcPr>
            <w:tcW w:type="dxa" w:w="2300"/>
            <w:tcMar>
              <w:top w:w="80" w:type="dxa"/>
              <w:bottom w:w="80" w:type="dxa"/>
              <w:start w:w="120" w:type="dxa"/>
              <w:end w:w="120" w:type="dxa"/>
            </w:tcMar>
          </w:tcPr>
          <w:p>
            <w:hyperlink r:id="rId14">
              <w:r>
                <w:rPr>
                  <w:color w:val="1D5FD1"/>
                  <w:u w:val="single"/>
                  <w:b/>
                  <w:sz w:val="16"/>
                  <w:szCs w:val="16"/>
                  <w:rFonts w:ascii="Calibri" w:hAnsi="Calibri" w:eastAsia="Hiragino Sans GB"/>
                </w:rPr>
                <w:t>Mag7 AI 平台再分层</w:t>
              </w:r>
            </w:hyperlink>
          </w:p>
        </w:tc>
        <w:tc>
          <w:tcPr>
            <w:tcW w:type="dxa" w:w="255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云厂商 capex 指引是否继续上修</w:t>
            </w:r>
          </w:p>
        </w:tc>
        <w:tc>
          <w:tcPr>
            <w:tcW w:type="dxa" w:w="26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META · MSFT · NVDA · AMZN · GOOGL · TSM</w:t>
            </w:r>
          </w:p>
        </w:tc>
      </w:tr>
      <w:tr>
        <w:trPr>
          <w:cantSplit/>
        </w:trPr>
        <w:tc>
          <w:tcPr>
            <w:tcW w:type="dxa" w:w="600"/>
            <w:tcMar>
              <w:top w:w="80" w:type="dxa"/>
              <w:bottom w:w="80" w:type="dxa"/>
              <w:start w:w="120" w:type="dxa"/>
              <w:end w:w="120" w:type="dxa"/>
            </w:tcMar>
          </w:tcPr>
          <w:p>
            <w:pPr>
              <w:spacing w:before="0" w:after="0" w:line="252" w:lineRule="auto"/>
            </w:pPr>
            <w:r>
              <w:rPr>
                <w:rFonts w:ascii="Calibri" w:hAnsi="Calibri" w:eastAsia="Hiragino Sans GB"/>
                <w:b/>
                <w:color w:val="111111"/>
                <w:sz w:val="16"/>
              </w:rPr>
              <w:t>10</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5"/>
              </w:rPr>
              <w:t>NEUTRAL</w:t>
            </w:r>
          </w:p>
        </w:tc>
        <w:tc>
          <w:tcPr>
            <w:tcW w:type="dxa" w:w="2300"/>
            <w:tcMar>
              <w:top w:w="80" w:type="dxa"/>
              <w:bottom w:w="80" w:type="dxa"/>
              <w:start w:w="120" w:type="dxa"/>
              <w:end w:w="120" w:type="dxa"/>
            </w:tcMar>
          </w:tcPr>
          <w:p>
            <w:hyperlink r:id="rId63">
              <w:r>
                <w:rPr>
                  <w:color w:val="1D5FD1"/>
                  <w:u w:val="single"/>
                  <w:b/>
                  <w:sz w:val="16"/>
                  <w:szCs w:val="16"/>
                  <w:rFonts w:ascii="Calibri" w:hAnsi="Calibri" w:eastAsia="Hiragino Sans GB"/>
                </w:rPr>
                <w:t>AI 算力半导体</w:t>
              </w:r>
            </w:hyperlink>
          </w:p>
        </w:tc>
        <w:tc>
          <w:tcPr>
            <w:tcW w:type="dxa" w:w="255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云厂商 capex 指引是否继续上修</w:t>
            </w:r>
          </w:p>
        </w:tc>
        <w:tc>
          <w:tcPr>
            <w:tcW w:type="dxa" w:w="26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NVDA · TSM · AMD · AVGO · 000660.KS · MU</w:t>
            </w:r>
          </w:p>
        </w:tc>
      </w:tr>
      <w:tr>
        <w:trPr>
          <w:cantSplit/>
        </w:trPr>
        <w:tc>
          <w:tcPr>
            <w:tcW w:type="dxa" w:w="600"/>
            <w:tcMar>
              <w:top w:w="80" w:type="dxa"/>
              <w:bottom w:w="80" w:type="dxa"/>
              <w:start w:w="120" w:type="dxa"/>
              <w:end w:w="120" w:type="dxa"/>
            </w:tcMar>
          </w:tcPr>
          <w:p>
            <w:pPr>
              <w:spacing w:before="0" w:after="0" w:line="252" w:lineRule="auto"/>
            </w:pPr>
            <w:r>
              <w:rPr>
                <w:rFonts w:ascii="Calibri" w:hAnsi="Calibri" w:eastAsia="Hiragino Sans GB"/>
                <w:b/>
                <w:color w:val="111111"/>
                <w:sz w:val="16"/>
              </w:rPr>
              <w:t>11</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8864B"/>
                <w:sz w:val="15"/>
              </w:rPr>
              <w:t>OVERWEIGHT</w:t>
            </w:r>
          </w:p>
        </w:tc>
        <w:tc>
          <w:tcPr>
            <w:tcW w:type="dxa" w:w="2300"/>
            <w:tcMar>
              <w:top w:w="80" w:type="dxa"/>
              <w:bottom w:w="80" w:type="dxa"/>
              <w:start w:w="120" w:type="dxa"/>
              <w:end w:w="120" w:type="dxa"/>
            </w:tcMar>
          </w:tcPr>
          <w:p>
            <w:hyperlink r:id="rId13">
              <w:r>
                <w:rPr>
                  <w:color w:val="1D5FD1"/>
                  <w:u w:val="single"/>
                  <w:b/>
                  <w:sz w:val="16"/>
                  <w:szCs w:val="16"/>
                  <w:rFonts w:ascii="Calibri" w:hAnsi="Calibri" w:eastAsia="Hiragino Sans GB"/>
                </w:rPr>
                <w:t>A股红利/硬科技杠铃</w:t>
              </w:r>
            </w:hyperlink>
          </w:p>
        </w:tc>
        <w:tc>
          <w:tcPr>
            <w:tcW w:type="dxa" w:w="255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融资余额、ETF 申赎和北向资金是否同向</w:t>
            </w:r>
          </w:p>
        </w:tc>
        <w:tc>
          <w:tcPr>
            <w:tcW w:type="dxa" w:w="26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600900.SH · 601088.SH · 510880.SH · 601398.SH · 688981.SH · 588000.SH</w:t>
            </w:r>
          </w:p>
        </w:tc>
      </w:tr>
      <w:tr>
        <w:trPr>
          <w:cantSplit/>
        </w:trPr>
        <w:tc>
          <w:tcPr>
            <w:tcW w:type="dxa" w:w="600"/>
            <w:tcMar>
              <w:top w:w="80" w:type="dxa"/>
              <w:bottom w:w="80" w:type="dxa"/>
              <w:start w:w="120" w:type="dxa"/>
              <w:end w:w="120" w:type="dxa"/>
            </w:tcMar>
          </w:tcPr>
          <w:p>
            <w:pPr>
              <w:spacing w:before="0" w:after="0" w:line="252" w:lineRule="auto"/>
            </w:pPr>
            <w:r>
              <w:rPr>
                <w:rFonts w:ascii="Calibri" w:hAnsi="Calibri" w:eastAsia="Hiragino Sans GB"/>
                <w:b/>
                <w:color w:val="111111"/>
                <w:sz w:val="16"/>
              </w:rPr>
              <w:t>12</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5"/>
              </w:rPr>
              <w:t>UNDERWEIGHT</w:t>
            </w:r>
          </w:p>
        </w:tc>
        <w:tc>
          <w:tcPr>
            <w:tcW w:type="dxa" w:w="2300"/>
            <w:tcMar>
              <w:top w:w="80" w:type="dxa"/>
              <w:bottom w:w="80" w:type="dxa"/>
              <w:start w:w="120" w:type="dxa"/>
              <w:end w:w="120" w:type="dxa"/>
            </w:tcMar>
          </w:tcPr>
          <w:p>
            <w:hyperlink r:id="rId17">
              <w:r>
                <w:rPr>
                  <w:color w:val="1D5FD1"/>
                  <w:u w:val="single"/>
                  <w:b/>
                  <w:sz w:val="16"/>
                  <w:szCs w:val="16"/>
                  <w:rFonts w:ascii="Calibri" w:hAnsi="Calibri" w:eastAsia="Hiragino Sans GB"/>
                </w:rPr>
                <w:t>A股硬科技/科创50</w:t>
              </w:r>
            </w:hyperlink>
          </w:p>
        </w:tc>
        <w:tc>
          <w:tcPr>
            <w:tcW w:type="dxa" w:w="255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融资余额、ETF 申赎和北向资金是否同向</w:t>
            </w:r>
          </w:p>
        </w:tc>
        <w:tc>
          <w:tcPr>
            <w:tcW w:type="dxa" w:w="26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688256.SH · 588000.SH · 688981.SH · 688041.SH · 300308.SZ · 688008.SH</w:t>
            </w:r>
          </w:p>
        </w:tc>
      </w:tr>
    </w:tbl>
    <w:p>
      <w:pPr>
        <w:pStyle w:val="Heading1"/>
      </w:pPr>
      <w:r>
        <w:t>6. 关键分歧：保留正反两面</w:t>
      </w:r>
    </w:p>
    <w:p>
      <w:pPr>
        <w:pStyle w:val="Heading2"/>
      </w:pPr>
      <w:r>
        <w:t>01 · AI资本开支韧性与物理交付瓶颈</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1350"/>
        <w:gridCol w:w="8010"/>
      </w:tblGrid>
      <w:tr>
        <w:trPr>
          <w:cantSplit/>
        </w:trPr>
        <w:tc>
          <w:tcPr>
            <w:tcW w:type="dxa" w:w="13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6"/>
              </w:rPr>
              <w:t>SUPPORT</w:t>
            </w:r>
          </w:p>
        </w:tc>
        <w:tc>
          <w:tcPr>
            <w:tcW w:type="dxa" w:w="801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云厂商资本开支若继续上修，GPU、HBM、先进封装与电力设备的交付窗口匹配，可延长AI基础设施建设周期，并支持平台与上游供应链再分层。</w:t>
            </w:r>
          </w:p>
        </w:tc>
      </w:tr>
      <w:tr>
        <w:trPr>
          <w:cantSplit/>
        </w:trPr>
        <w:tc>
          <w:tcPr>
            <w:tcW w:type="dxa" w:w="13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6"/>
              </w:rPr>
              <w:t>CHALLENGE</w:t>
            </w:r>
          </w:p>
        </w:tc>
        <w:tc>
          <w:tcPr>
            <w:tcW w:type="dxa" w:w="801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能源和融资成本上升、并网与可靠电源不足，可能使已计划算力无法按期转化为可用产能，进而增加项目延期和资产利用率风险。</w:t>
            </w:r>
          </w:p>
        </w:tc>
      </w:tr>
      <w:tr>
        <w:trPr>
          <w:cantSplit/>
        </w:trPr>
        <w:tc>
          <w:tcPr>
            <w:tcW w:type="dxa" w:w="13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D85B16"/>
                <w:sz w:val="16"/>
              </w:rPr>
              <w:t>RESOLVE</w:t>
            </w:r>
          </w:p>
        </w:tc>
        <w:tc>
          <w:tcPr>
            <w:tcW w:type="dxa" w:w="801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观察云厂商资本开支指引是否继续上修，并与并网进度、变压器交期、可靠电源合同和GPU/HBM交付窗口同步改善。</w:t>
            </w:r>
          </w:p>
        </w:tc>
      </w:tr>
    </w:tbl>
    <w:p>
      <w:pPr>
        <w:pStyle w:val="Heading2"/>
      </w:pPr>
      <w:r>
        <w:t>02 · A股硬科技是结构性切换还是拥挤反弹</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1350"/>
        <w:gridCol w:w="8010"/>
      </w:tblGrid>
      <w:tr>
        <w:trPr>
          <w:cantSplit/>
        </w:trPr>
        <w:tc>
          <w:tcPr>
            <w:tcW w:type="dxa" w:w="13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6"/>
              </w:rPr>
              <w:t>SUPPORT</w:t>
            </w:r>
          </w:p>
        </w:tc>
        <w:tc>
          <w:tcPr>
            <w:tcW w:type="dxa" w:w="801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国产化、半导体订单以及向电力设备、储能和液冷等可验证订单环节重配，为硬科技内部结构性复苏提供基础。</w:t>
            </w:r>
          </w:p>
        </w:tc>
      </w:tr>
      <w:tr>
        <w:trPr>
          <w:cantSplit/>
        </w:trPr>
        <w:tc>
          <w:tcPr>
            <w:tcW w:type="dxa" w:w="13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6"/>
              </w:rPr>
              <w:t>CHALLENGE</w:t>
            </w:r>
          </w:p>
        </w:tc>
        <w:tc>
          <w:tcPr>
            <w:tcW w:type="dxa" w:w="801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融资杠杆拥挤、关税后的次生管制风险与边际定价脱离订单基本面，可能使指数层面的反弹先于盈利兑现结束。</w:t>
            </w:r>
          </w:p>
        </w:tc>
      </w:tr>
      <w:tr>
        <w:trPr>
          <w:cantSplit/>
        </w:trPr>
        <w:tc>
          <w:tcPr>
            <w:tcW w:type="dxa" w:w="13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D85B16"/>
                <w:sz w:val="16"/>
              </w:rPr>
              <w:t>RESOLVE</w:t>
            </w:r>
          </w:p>
        </w:tc>
        <w:tc>
          <w:tcPr>
            <w:tcW w:type="dxa" w:w="801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观察融资余额、ETF申赎和北向资金是否同向，同时核对订单能见度、交付及盈利指引是否改善；单一研究热度不构成确认。</w:t>
            </w:r>
          </w:p>
        </w:tc>
      </w:tr>
    </w:tbl>
    <w:p>
      <w:pPr>
        <w:pStyle w:val="Heading2"/>
      </w:pPr>
      <w:r>
        <w:t>03 · 红利与公用事业的防守价值是否被拥挤度削弱</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1350"/>
        <w:gridCol w:w="8010"/>
      </w:tblGrid>
      <w:tr>
        <w:trPr>
          <w:cantSplit/>
        </w:trPr>
        <w:tc>
          <w:tcPr>
            <w:tcW w:type="dxa" w:w="13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6"/>
              </w:rPr>
              <w:t>SUPPORT</w:t>
            </w:r>
          </w:p>
        </w:tc>
        <w:tc>
          <w:tcPr>
            <w:tcW w:type="dxa" w:w="801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容量电价、辅助服务市场化及稳定现金流有望改善电力运营商的盈利质量，使红利资产继续承担杠铃中的防守锚。</w:t>
            </w:r>
          </w:p>
        </w:tc>
      </w:tr>
      <w:tr>
        <w:trPr>
          <w:cantSplit/>
        </w:trPr>
        <w:tc>
          <w:tcPr>
            <w:tcW w:type="dxa" w:w="13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6"/>
              </w:rPr>
              <w:t>CHALLENGE</w:t>
            </w:r>
          </w:p>
        </w:tc>
        <w:tc>
          <w:tcPr>
            <w:tcW w:type="dxa" w:w="801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红利拥挤、股息率利差压缩和ETF微观流动性压力可能使防守资产在去杠杆时同样出现脆弱性，盈利稳定不等于持仓无风险。</w:t>
            </w:r>
          </w:p>
        </w:tc>
      </w:tr>
      <w:tr>
        <w:trPr>
          <w:cantSplit/>
        </w:trPr>
        <w:tc>
          <w:tcPr>
            <w:tcW w:type="dxa" w:w="13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D85B16"/>
                <w:sz w:val="16"/>
              </w:rPr>
              <w:t>RESOLVE</w:t>
            </w:r>
          </w:p>
        </w:tc>
        <w:tc>
          <w:tcPr>
            <w:tcW w:type="dxa" w:w="801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观察容量电价和辅助服务收入兑现、现金流质量，以及ETF申赎和流动性压力是否同时改善。</w:t>
            </w:r>
          </w:p>
        </w:tc>
      </w:tr>
    </w:tbl>
    <w:p>
      <w:pPr>
        <w:pStyle w:val="Heading2"/>
      </w:pPr>
      <w:r>
        <w:t>04 · AI再通胀还是生产率去通胀</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1350"/>
        <w:gridCol w:w="8010"/>
      </w:tblGrid>
      <w:tr>
        <w:trPr>
          <w:cantSplit/>
        </w:trPr>
        <w:tc>
          <w:tcPr>
            <w:tcW w:type="dxa" w:w="13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6"/>
              </w:rPr>
              <w:t>SUPPORT</w:t>
            </w:r>
          </w:p>
        </w:tc>
        <w:tc>
          <w:tcPr>
            <w:tcW w:type="dxa" w:w="801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AI基础设施建设增加能源、设备和融资需求，若成本向终端传导，将推高核心通胀与实际利率，并压缩长久期资产估值空间。</w:t>
            </w:r>
          </w:p>
        </w:tc>
      </w:tr>
      <w:tr>
        <w:trPr>
          <w:cantSplit/>
        </w:trPr>
        <w:tc>
          <w:tcPr>
            <w:tcW w:type="dxa" w:w="13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6"/>
              </w:rPr>
              <w:t>CHALLENGE</w:t>
            </w:r>
          </w:p>
        </w:tc>
        <w:tc>
          <w:tcPr>
            <w:tcW w:type="dxa" w:w="801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模型成本下降、软件采用和流程重构可能提高效率；若生产资料价格未传导至核心通胀，政策可能穿透短期能源冲击，生产率去通胀仍有机会占上风。</w:t>
            </w:r>
          </w:p>
        </w:tc>
      </w:tr>
      <w:tr>
        <w:trPr>
          <w:cantSplit/>
        </w:trPr>
        <w:tc>
          <w:tcPr>
            <w:tcW w:type="dxa" w:w="13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D85B16"/>
                <w:sz w:val="16"/>
              </w:rPr>
              <w:t>RESOLVE</w:t>
            </w:r>
          </w:p>
        </w:tc>
        <w:tc>
          <w:tcPr>
            <w:tcW w:type="dxa" w:w="801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观察CPI/PCE、能源成本、实际利率及企业披露的AI采用率、单位成本和流程效率是否形成连续同向变化。</w:t>
            </w:r>
          </w:p>
        </w:tc>
      </w:tr>
    </w:tbl>
    <w:p>
      <w:pPr>
        <w:pStyle w:val="Heading2"/>
      </w:pPr>
      <w:r>
        <w:t>05 · 地缘油价尾部能否转化为油服盈利周期</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1350"/>
        <w:gridCol w:w="8010"/>
      </w:tblGrid>
      <w:tr>
        <w:trPr>
          <w:cantSplit/>
        </w:trPr>
        <w:tc>
          <w:tcPr>
            <w:tcW w:type="dxa" w:w="13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6"/>
              </w:rPr>
              <w:t>SUPPORT</w:t>
            </w:r>
          </w:p>
        </w:tc>
        <w:tc>
          <w:tcPr>
            <w:tcW w:type="dxa" w:w="801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若地缘溢价持续并带动上游现金流、资本纪律下的勘探开发支出、平台利用率和日费率改善，油服盈利弹性可以兑现。</w:t>
            </w:r>
          </w:p>
        </w:tc>
      </w:tr>
      <w:tr>
        <w:trPr>
          <w:cantSplit/>
        </w:trPr>
        <w:tc>
          <w:tcPr>
            <w:tcW w:type="dxa" w:w="13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6"/>
              </w:rPr>
              <w:t>CHALLENGE</w:t>
            </w:r>
          </w:p>
        </w:tc>
        <w:tc>
          <w:tcPr>
            <w:tcW w:type="dxa" w:w="801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若冲击停留在短期头寸挤压，或高成本演变为需求破坏，油价事件不会自动转化为客户资本开支，反而可能压制风险资产。</w:t>
            </w:r>
          </w:p>
        </w:tc>
      </w:tr>
      <w:tr>
        <w:trPr>
          <w:cantSplit/>
        </w:trPr>
        <w:tc>
          <w:tcPr>
            <w:tcW w:type="dxa" w:w="13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D85B16"/>
                <w:sz w:val="16"/>
              </w:rPr>
              <w:t>RESOLVE</w:t>
            </w:r>
          </w:p>
        </w:tc>
        <w:tc>
          <w:tcPr>
            <w:tcW w:type="dxa" w:w="801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观察库存、上游资本开支预算、钻井平台利用率和日费率是否连续改善，并判断油价与金属缺口是否开始造成需求破坏。</w:t>
            </w:r>
          </w:p>
        </w:tc>
      </w:tr>
    </w:tbl>
    <w:p>
      <w:pPr>
        <w:pStyle w:val="Heading1"/>
      </w:pPr>
      <w:r>
        <w:t>7. 下周验证清单</w:t>
      </w:r>
    </w:p>
    <w:p>
      <w:pPr>
        <w:pStyle w:val="Heading2"/>
      </w:pPr>
      <w:r>
        <w:t>01 · 美国CPI/PCE、油价传导与实际利率的组合信号</w:t>
      </w:r>
    </w:p>
    <w:p>
      <w:pPr>
        <w:keepLines/>
      </w:pPr>
      <w:r>
        <w:rPr>
          <w:rFonts w:ascii="Calibri" w:hAnsi="Calibri" w:eastAsia="Hiragino Sans GB"/>
          <w:b w:val="0"/>
          <w:color w:val="5E6268"/>
          <w:sz w:val="22"/>
        </w:rPr>
        <w:t>它决定AI资本开支的成本冲击是被政策穿透，还是重新压缩长久期资产估值，也是AI再通胀与生产率去通胀两条主线的共同验证点。</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900"/>
        <w:gridCol w:w="3770"/>
        <w:gridCol w:w="4690"/>
      </w:tblGrid>
      <w:tr>
        <w:trPr>
          <w:cantSplit/>
        </w:trPr>
        <w:tc>
          <w:tcPr>
            <w:tcW w:type="dxa" w:w="9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5"/>
              </w:rPr>
              <w:t>POSITIVE</w:t>
            </w:r>
          </w:p>
        </w:tc>
        <w:tc>
          <w:tcPr>
            <w:tcW w:type="dxa" w:w="377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核心通胀未因能源冲击重新加速，且实际利率未持续上行。</w:t>
            </w:r>
          </w:p>
        </w:tc>
        <w:tc>
          <w:tcPr>
            <w:tcW w:type="dxa" w:w="469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维持油气TRIM，适度提高对AI平台、软件效率和久期敏感资产的研究优先级，但仍等待价格确认后再调整组合。</w:t>
            </w:r>
          </w:p>
        </w:tc>
      </w:tr>
      <w:tr>
        <w:trPr>
          <w:cantSplit/>
        </w:trPr>
        <w:tc>
          <w:tcPr>
            <w:tcW w:type="dxa" w:w="9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5"/>
              </w:rPr>
              <w:t>NEGATIVE</w:t>
            </w:r>
          </w:p>
        </w:tc>
        <w:tc>
          <w:tcPr>
            <w:tcW w:type="dxa" w:w="377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核心通胀重新加速，并伴随实际利率持续上行或政策路径明显转鹰。</w:t>
            </w:r>
          </w:p>
        </w:tc>
        <w:tc>
          <w:tcPr>
            <w:tcW w:type="dxa" w:w="469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压低长久期科技与利率敏感资产风险预算，保留通胀保护和流动性缓冲，并继续限制地缘事件驱动的追涨暴露。</w:t>
            </w:r>
          </w:p>
        </w:tc>
      </w:tr>
    </w:tbl>
    <w:p>
      <w:pPr>
        <w:pStyle w:val="Heading2"/>
      </w:pPr>
      <w:r>
        <w:t>02 · 云厂商资本开支与可交付电力同步性</w:t>
      </w:r>
    </w:p>
    <w:p>
      <w:pPr>
        <w:keepLines/>
      </w:pPr>
      <w:r>
        <w:rPr>
          <w:rFonts w:ascii="Calibri" w:hAnsi="Calibri" w:eastAsia="Hiragino Sans GB"/>
          <w:b w:val="0"/>
          <w:color w:val="5E6268"/>
          <w:sz w:val="22"/>
        </w:rPr>
        <w:t>资本开支意愿只有与并网、变压器、可靠电源和GPU/HBM交付相匹配，才可能转化为收入和资产利用率。</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900"/>
        <w:gridCol w:w="3770"/>
        <w:gridCol w:w="4690"/>
      </w:tblGrid>
      <w:tr>
        <w:trPr>
          <w:cantSplit/>
        </w:trPr>
        <w:tc>
          <w:tcPr>
            <w:tcW w:type="dxa" w:w="9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5"/>
              </w:rPr>
              <w:t>POSITIVE</w:t>
            </w:r>
          </w:p>
        </w:tc>
        <w:tc>
          <w:tcPr>
            <w:tcW w:type="dxa" w:w="377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云厂商继续上修资本开支或交付指引，同时并网进度、变压器交期和可靠电源合同出现可核验改善。</w:t>
            </w:r>
          </w:p>
        </w:tc>
        <w:tc>
          <w:tcPr>
            <w:tcW w:type="dxa" w:w="469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在Mag7整体HOLD不变的前提下，提高GEV、ETN、CEG、VST及具备交付能力的平台与半导体环节的组合候选优先级。</w:t>
            </w:r>
          </w:p>
        </w:tc>
      </w:tr>
      <w:tr>
        <w:trPr>
          <w:cantSplit/>
        </w:trPr>
        <w:tc>
          <w:tcPr>
            <w:tcW w:type="dxa" w:w="9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5"/>
              </w:rPr>
              <w:t>NEGATIVE</w:t>
            </w:r>
          </w:p>
        </w:tc>
        <w:tc>
          <w:tcPr>
            <w:tcW w:type="dxa" w:w="377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资本开支指引下修，或电力与并网延期导致算力交付计划推迟。</w:t>
            </w:r>
          </w:p>
        </w:tc>
        <w:tc>
          <w:tcPr>
            <w:tcW w:type="dxa" w:w="469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降低无电力锚定的AI基础设施暴露，收缩高资本强度平台权重候选，优先保留现金流和交付确定性更高的资产。</w:t>
            </w:r>
          </w:p>
        </w:tc>
      </w:tr>
    </w:tbl>
    <w:p>
      <w:pPr>
        <w:pStyle w:val="Heading2"/>
      </w:pPr>
      <w:r>
        <w:t>03 · A股融资余额、ETF申赎和北向资金是否同向</w:t>
      </w:r>
    </w:p>
    <w:p>
      <w:pPr>
        <w:keepLines/>
      </w:pPr>
      <w:r>
        <w:rPr>
          <w:rFonts w:ascii="Calibri" w:hAnsi="Calibri" w:eastAsia="Hiragino Sans GB"/>
          <w:b w:val="0"/>
          <w:color w:val="5E6268"/>
          <w:sz w:val="22"/>
        </w:rPr>
        <w:t>这是A股红利/硬科技杠铃与科创50能否从研究观察升级为组合确认的共同条件；当前公开数据未提供行情报价，不能预判结果。</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900"/>
        <w:gridCol w:w="3770"/>
        <w:gridCol w:w="4690"/>
      </w:tblGrid>
      <w:tr>
        <w:trPr>
          <w:cantSplit/>
        </w:trPr>
        <w:tc>
          <w:tcPr>
            <w:tcW w:type="dxa" w:w="9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5"/>
              </w:rPr>
              <w:t>POSITIVE</w:t>
            </w:r>
          </w:p>
        </w:tc>
        <w:tc>
          <w:tcPr>
            <w:tcW w:type="dxa" w:w="377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三类资金指标连续同向改善，并伴随半导体、电力设备订单或盈利指引得到公开披露确认。</w:t>
            </w:r>
          </w:p>
        </w:tc>
        <w:tc>
          <w:tcPr>
            <w:tcW w:type="dxa" w:w="469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维持杠铃框架，分批提高订单可验证的电网设备与硬科技候选权重，避免一次性追逐指数暴露。</w:t>
            </w:r>
          </w:p>
        </w:tc>
      </w:tr>
      <w:tr>
        <w:trPr>
          <w:cantSplit/>
        </w:trPr>
        <w:tc>
          <w:tcPr>
            <w:tcW w:type="dxa" w:w="9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5"/>
              </w:rPr>
              <w:t>NEGATIVE</w:t>
            </w:r>
          </w:p>
        </w:tc>
        <w:tc>
          <w:tcPr>
            <w:tcW w:type="dxa" w:w="377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融资余额转弱、ETF持续赎回或北向资金流向与指数表现背离，且订单证据没有修复。</w:t>
            </w:r>
          </w:p>
        </w:tc>
        <w:tc>
          <w:tcPr>
            <w:tcW w:type="dxa" w:w="469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维持科创50观察或低配，收缩高杠杆半导体暴露，将风险预算偏向现金流质量较高的红利与公用事业，同时设置流动性上限。</w:t>
            </w:r>
          </w:p>
        </w:tc>
      </w:tr>
    </w:tbl>
    <w:p>
      <w:pPr>
        <w:pStyle w:val="Heading2"/>
      </w:pPr>
      <w:r>
        <w:t>04 · 油气冲击能否进入上游资本开支与油服经营指标</w:t>
      </w:r>
    </w:p>
    <w:p>
      <w:pPr>
        <w:keepLines/>
      </w:pPr>
      <w:r>
        <w:rPr>
          <w:rFonts w:ascii="Calibri" w:hAnsi="Calibri" w:eastAsia="Hiragino Sans GB"/>
          <w:b w:val="0"/>
          <w:color w:val="5E6268"/>
          <w:sz w:val="22"/>
        </w:rPr>
        <w:t>TRIM决策的再评估不取决于单日油价，而取决于地缘尾部是否转化为库存、现金流、资本开支、利用率和日费率的连续改善。</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900"/>
        <w:gridCol w:w="3770"/>
        <w:gridCol w:w="4690"/>
      </w:tblGrid>
      <w:tr>
        <w:trPr>
          <w:cantSplit/>
        </w:trPr>
        <w:tc>
          <w:tcPr>
            <w:tcW w:type="dxa" w:w="9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5"/>
              </w:rPr>
              <w:t>POSITIVE</w:t>
            </w:r>
          </w:p>
        </w:tc>
        <w:tc>
          <w:tcPr>
            <w:tcW w:type="dxa" w:w="377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上游企业提高资本开支预算，钻井平台利用率、日费率或高毛利技术服务占比出现连续可核验改善。</w:t>
            </w:r>
          </w:p>
        </w:tc>
        <w:tc>
          <w:tcPr>
            <w:tcW w:type="dxa" w:w="469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停止进一步降权并重新评估油服观察仓，但在资本纪律和现金流确认前不恢复为无条件加仓逻辑。</w:t>
            </w:r>
          </w:p>
        </w:tc>
      </w:tr>
      <w:tr>
        <w:trPr>
          <w:cantSplit/>
        </w:trPr>
        <w:tc>
          <w:tcPr>
            <w:tcW w:type="dxa" w:w="9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5"/>
              </w:rPr>
              <w:t>NEGATIVE</w:t>
            </w:r>
          </w:p>
        </w:tc>
        <w:tc>
          <w:tcPr>
            <w:tcW w:type="dxa" w:w="377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地缘冲击消退，或高能源与金属成本开始压制需求，同时油服订单和利用率未改善。</w:t>
            </w:r>
          </w:p>
        </w:tc>
        <w:tc>
          <w:tcPr>
            <w:tcW w:type="dxa" w:w="469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继续执行TRIM，保留尾部风险监测或对冲用途，不扩大0883.HK、SLB、OXY、CVX、XOM等方向性暴露。</w:t>
            </w:r>
          </w:p>
        </w:tc>
      </w:tr>
    </w:tbl>
    <w:p>
      <w:pPr>
        <w:pStyle w:val="Heading2"/>
      </w:pPr>
      <w:r>
        <w:t>05 · 公用事业盈利质量与ETF流动性是否共振</w:t>
      </w:r>
    </w:p>
    <w:p>
      <w:pPr>
        <w:keepLines/>
      </w:pPr>
      <w:r>
        <w:rPr>
          <w:rFonts w:ascii="Calibri" w:hAnsi="Calibri" w:eastAsia="Hiragino Sans GB"/>
          <w:b w:val="0"/>
          <w:color w:val="5E6268"/>
          <w:sz w:val="22"/>
        </w:rPr>
        <w:t>容量电价和辅助服务改善可以强化红利锚，但若ETF流动性恶化，基本面防守仍可能被持仓拥挤抵消。</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900"/>
        <w:gridCol w:w="3770"/>
        <w:gridCol w:w="4690"/>
      </w:tblGrid>
      <w:tr>
        <w:trPr>
          <w:cantSplit/>
        </w:trPr>
        <w:tc>
          <w:tcPr>
            <w:tcW w:type="dxa" w:w="9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5"/>
              </w:rPr>
              <w:t>POSITIVE</w:t>
            </w:r>
          </w:p>
        </w:tc>
        <w:tc>
          <w:tcPr>
            <w:tcW w:type="dxa" w:w="377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容量电价、辅助服务收入或经营现金流得到公开披露验证，同时相关ETF申赎与成交深度保持稳定。</w:t>
            </w:r>
          </w:p>
        </w:tc>
        <w:tc>
          <w:tcPr>
            <w:tcW w:type="dxa" w:w="469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在A股杠铃HOLD框架下提高优质电力运营商和电网信用资产的候选排序，仍保留单一赛道仓位上限。</w:t>
            </w:r>
          </w:p>
        </w:tc>
      </w:tr>
      <w:tr>
        <w:trPr>
          <w:cantSplit/>
        </w:trPr>
        <w:tc>
          <w:tcPr>
            <w:tcW w:type="dxa" w:w="9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5"/>
              </w:rPr>
              <w:t>NEGATIVE</w:t>
            </w:r>
          </w:p>
        </w:tc>
        <w:tc>
          <w:tcPr>
            <w:tcW w:type="dxa" w:w="377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盈利兑现低于预期，或ETF赎回和流动性压力上升、支持证据停止更新。</w:t>
            </w:r>
          </w:p>
        </w:tc>
        <w:tc>
          <w:tcPr>
            <w:tcW w:type="dxa" w:w="469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下调拥挤红利和电力ETF风险预算，保留基本面更稳健、流动性更好的个股或宽基防守暴露。</w:t>
            </w:r>
          </w:p>
        </w:tc>
      </w:tr>
    </w:tbl>
    <w:p>
      <w:pPr>
        <w:pStyle w:val="Heading1"/>
      </w:pPr>
      <w:r>
        <w:t>8. 发布质量与数据边界</w:t>
      </w:r>
    </w:p>
    <w:p>
      <w:pPr>
        <w:keepLines w:val="0"/>
      </w:pPr>
      <w:r>
        <w:rPr>
          <w:rFonts w:ascii="Calibri" w:hAnsi="Calibri" w:eastAsia="Hiragino Sans GB"/>
          <w:b/>
          <w:color w:val="111111"/>
          <w:sz w:val="22"/>
        </w:rPr>
        <w:t>本周结构化市场报价为空，因此不发布伪精确收益归因；正式命中率与 Brier 需要已结算 forecast 合约。</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2500"/>
        <w:gridCol w:w="1860"/>
        <w:gridCol w:w="5000"/>
      </w:tblGrid>
      <w:tr>
        <w:trPr>
          <w:cantSplit/>
          <w:tblHeader w:val="true"/>
        </w:trPr>
        <w:tc>
          <w:tcPr>
            <w:tcW w:type="dxa" w:w="2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6"/>
              </w:rPr>
              <w:t>CHECK</w:t>
            </w:r>
          </w:p>
        </w:tc>
        <w:tc>
          <w:tcPr>
            <w:tcW w:type="dxa" w:w="186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6"/>
              </w:rPr>
              <w:t>STATUS / VALUE</w:t>
            </w:r>
          </w:p>
        </w:tc>
        <w:tc>
          <w:tcPr>
            <w:tcW w:type="dxa" w:w="50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6"/>
              </w:rPr>
              <w:t>INTERPRETATION</w:t>
            </w:r>
          </w:p>
        </w:tc>
      </w:tr>
      <w:tr>
        <w:trPr>
          <w:cantSplit/>
        </w:trPr>
        <w:tc>
          <w:tcPr>
            <w:tcW w:type="dxa" w:w="2500"/>
            <w:tcMar>
              <w:top w:w="80" w:type="dxa"/>
              <w:bottom w:w="80" w:type="dxa"/>
              <w:start w:w="120" w:type="dxa"/>
              <w:end w:w="120" w:type="dxa"/>
            </w:tcMar>
          </w:tcPr>
          <w:p>
            <w:pPr>
              <w:spacing w:before="0" w:after="0" w:line="252" w:lineRule="auto"/>
            </w:pPr>
            <w:r>
              <w:rPr>
                <w:rFonts w:ascii="Calibri" w:hAnsi="Calibri" w:eastAsia="Hiragino Sans GB"/>
                <w:b/>
                <w:color w:val="111111"/>
                <w:sz w:val="17"/>
              </w:rPr>
              <w:t>公开来源数</w:t>
            </w:r>
          </w:p>
        </w:tc>
        <w:tc>
          <w:tcPr>
            <w:tcW w:type="dxa" w:w="1860"/>
            <w:tcMar>
              <w:top w:w="80" w:type="dxa"/>
              <w:bottom w:w="80" w:type="dxa"/>
              <w:start w:w="120" w:type="dxa"/>
              <w:end w:w="120" w:type="dxa"/>
            </w:tcMar>
          </w:tcPr>
          <w:p>
            <w:pPr>
              <w:spacing w:before="0" w:after="0" w:line="252" w:lineRule="auto"/>
            </w:pPr>
            <w:r>
              <w:rPr>
                <w:rFonts w:ascii="Calibri" w:hAnsi="Calibri" w:eastAsia="Hiragino Sans GB"/>
                <w:b/>
                <w:color w:val="18864B"/>
                <w:sz w:val="16"/>
              </w:rPr>
              <w:t>pass · 80</w:t>
            </w:r>
          </w:p>
        </w:tc>
        <w:tc>
          <w:tcPr>
            <w:tcW w:type="dxa" w:w="5000"/>
            <w:tcMar>
              <w:top w:w="80" w:type="dxa"/>
              <w:bottom w:w="80" w:type="dxa"/>
              <w:start w:w="120" w:type="dxa"/>
              <w:end w:w="120" w:type="dxa"/>
            </w:tcMar>
          </w:tcPr>
          <w:p>
            <w:pPr>
              <w:spacing w:before="0" w:after="0" w:line="252" w:lineRule="auto"/>
            </w:pPr>
            <w:r>
              <w:rPr>
                <w:rFonts w:ascii="Calibri" w:hAnsi="Calibri" w:eastAsia="Hiragino Sans GB"/>
                <w:b w:val="0"/>
                <w:color w:val="111111"/>
                <w:sz w:val="17"/>
              </w:rPr>
              <w:t>公开来源覆盖</w:t>
            </w:r>
          </w:p>
        </w:tc>
      </w:tr>
      <w:tr>
        <w:trPr>
          <w:cantSplit/>
        </w:trPr>
        <w:tc>
          <w:tcPr>
            <w:tcW w:type="dxa" w:w="2500"/>
            <w:tcMar>
              <w:top w:w="80" w:type="dxa"/>
              <w:bottom w:w="80" w:type="dxa"/>
              <w:start w:w="120" w:type="dxa"/>
              <w:end w:w="120" w:type="dxa"/>
            </w:tcMar>
          </w:tcPr>
          <w:p>
            <w:pPr>
              <w:spacing w:before="0" w:after="0" w:line="252" w:lineRule="auto"/>
            </w:pPr>
            <w:r>
              <w:rPr>
                <w:rFonts w:ascii="Calibri" w:hAnsi="Calibri" w:eastAsia="Hiragino Sans GB"/>
                <w:b/>
                <w:color w:val="111111"/>
                <w:sz w:val="17"/>
              </w:rPr>
              <w:t>操作结论证据覆盖</w:t>
            </w:r>
          </w:p>
        </w:tc>
        <w:tc>
          <w:tcPr>
            <w:tcW w:type="dxa" w:w="1860"/>
            <w:tcMar>
              <w:top w:w="80" w:type="dxa"/>
              <w:bottom w:w="80" w:type="dxa"/>
              <w:start w:w="120" w:type="dxa"/>
              <w:end w:w="120" w:type="dxa"/>
            </w:tcMar>
          </w:tcPr>
          <w:p>
            <w:pPr>
              <w:spacing w:before="0" w:after="0" w:line="252" w:lineRule="auto"/>
            </w:pPr>
            <w:r>
              <w:rPr>
                <w:rFonts w:ascii="Calibri" w:hAnsi="Calibri" w:eastAsia="Hiragino Sans GB"/>
                <w:b/>
                <w:color w:val="18864B"/>
                <w:sz w:val="16"/>
              </w:rPr>
              <w:t>pass · 6/6</w:t>
            </w:r>
          </w:p>
        </w:tc>
        <w:tc>
          <w:tcPr>
            <w:tcW w:type="dxa" w:w="5000"/>
            <w:tcMar>
              <w:top w:w="80" w:type="dxa"/>
              <w:bottom w:w="80" w:type="dxa"/>
              <w:start w:w="120" w:type="dxa"/>
              <w:end w:w="120" w:type="dxa"/>
            </w:tcMar>
          </w:tcPr>
          <w:p>
            <w:pPr>
              <w:spacing w:before="0" w:after="0" w:line="252" w:lineRule="auto"/>
            </w:pPr>
            <w:r>
              <w:rPr>
                <w:rFonts w:ascii="Calibri" w:hAnsi="Calibri" w:eastAsia="Hiragino Sans GB"/>
                <w:b w:val="0"/>
                <w:color w:val="111111"/>
                <w:sz w:val="17"/>
              </w:rPr>
              <w:t>每条操作结论均有证据映射</w:t>
            </w:r>
          </w:p>
        </w:tc>
      </w:tr>
      <w:tr>
        <w:trPr>
          <w:cantSplit/>
        </w:trPr>
        <w:tc>
          <w:tcPr>
            <w:tcW w:type="dxa" w:w="2500"/>
            <w:tcMar>
              <w:top w:w="80" w:type="dxa"/>
              <w:bottom w:w="80" w:type="dxa"/>
              <w:start w:w="120" w:type="dxa"/>
              <w:end w:w="120" w:type="dxa"/>
            </w:tcMar>
          </w:tcPr>
          <w:p>
            <w:pPr>
              <w:spacing w:before="0" w:after="0" w:line="252" w:lineRule="auto"/>
            </w:pPr>
            <w:r>
              <w:rPr>
                <w:rFonts w:ascii="Calibri" w:hAnsi="Calibri" w:eastAsia="Hiragino Sans GB"/>
                <w:b/>
                <w:color w:val="111111"/>
                <w:sz w:val="17"/>
              </w:rPr>
              <w:t>反向证据</w:t>
            </w:r>
          </w:p>
        </w:tc>
        <w:tc>
          <w:tcPr>
            <w:tcW w:type="dxa" w:w="1860"/>
            <w:tcMar>
              <w:top w:w="80" w:type="dxa"/>
              <w:bottom w:w="80" w:type="dxa"/>
              <w:start w:w="120" w:type="dxa"/>
              <w:end w:w="120" w:type="dxa"/>
            </w:tcMar>
          </w:tcPr>
          <w:p>
            <w:pPr>
              <w:spacing w:before="0" w:after="0" w:line="252" w:lineRule="auto"/>
            </w:pPr>
            <w:r>
              <w:rPr>
                <w:rFonts w:ascii="Calibri" w:hAnsi="Calibri" w:eastAsia="Hiragino Sans GB"/>
                <w:b/>
                <w:color w:val="18864B"/>
                <w:sz w:val="16"/>
              </w:rPr>
              <w:t>pass · 84</w:t>
            </w:r>
          </w:p>
        </w:tc>
        <w:tc>
          <w:tcPr>
            <w:tcW w:type="dxa" w:w="5000"/>
            <w:tcMar>
              <w:top w:w="80" w:type="dxa"/>
              <w:bottom w:w="80" w:type="dxa"/>
              <w:start w:w="120" w:type="dxa"/>
              <w:end w:w="120" w:type="dxa"/>
            </w:tcMar>
          </w:tcPr>
          <w:p>
            <w:pPr>
              <w:spacing w:before="0" w:after="0" w:line="252" w:lineRule="auto"/>
            </w:pPr>
            <w:r>
              <w:rPr>
                <w:rFonts w:ascii="Calibri" w:hAnsi="Calibri" w:eastAsia="Hiragino Sans GB"/>
                <w:b w:val="0"/>
                <w:color w:val="111111"/>
                <w:sz w:val="17"/>
              </w:rPr>
              <w:t>保留反向与挑战证据</w:t>
            </w:r>
          </w:p>
        </w:tc>
      </w:tr>
      <w:tr>
        <w:trPr>
          <w:cantSplit/>
        </w:trPr>
        <w:tc>
          <w:tcPr>
            <w:tcW w:type="dxa" w:w="2500"/>
            <w:tcMar>
              <w:top w:w="80" w:type="dxa"/>
              <w:bottom w:w="80" w:type="dxa"/>
              <w:start w:w="120" w:type="dxa"/>
              <w:end w:w="120" w:type="dxa"/>
            </w:tcMar>
          </w:tcPr>
          <w:p>
            <w:pPr>
              <w:spacing w:before="0" w:after="0" w:line="252" w:lineRule="auto"/>
            </w:pPr>
            <w:r>
              <w:rPr>
                <w:rFonts w:ascii="Calibri" w:hAnsi="Calibri" w:eastAsia="Hiragino Sans GB"/>
                <w:b/>
                <w:color w:val="111111"/>
                <w:sz w:val="17"/>
              </w:rPr>
              <w:t>上周基线</w:t>
            </w:r>
          </w:p>
        </w:tc>
        <w:tc>
          <w:tcPr>
            <w:tcW w:type="dxa" w:w="1860"/>
            <w:tcMar>
              <w:top w:w="80" w:type="dxa"/>
              <w:bottom w:w="80" w:type="dxa"/>
              <w:start w:w="120" w:type="dxa"/>
              <w:end w:w="120" w:type="dxa"/>
            </w:tcMar>
          </w:tcPr>
          <w:p>
            <w:pPr>
              <w:spacing w:before="0" w:after="0" w:line="252" w:lineRule="auto"/>
            </w:pPr>
            <w:r>
              <w:rPr>
                <w:rFonts w:ascii="Calibri" w:hAnsi="Calibri" w:eastAsia="Hiragino Sans GB"/>
                <w:b/>
                <w:color w:val="D85B16"/>
                <w:sz w:val="16"/>
              </w:rPr>
              <w:t>warn · baseline</w:t>
            </w:r>
          </w:p>
        </w:tc>
        <w:tc>
          <w:tcPr>
            <w:tcW w:type="dxa" w:w="5000"/>
            <w:tcMar>
              <w:top w:w="80" w:type="dxa"/>
              <w:bottom w:w="80" w:type="dxa"/>
              <w:start w:w="120" w:type="dxa"/>
              <w:end w:w="120" w:type="dxa"/>
            </w:tcMar>
          </w:tcPr>
          <w:p>
            <w:pPr>
              <w:spacing w:before="0" w:after="0" w:line="252" w:lineRule="auto"/>
            </w:pPr>
            <w:r>
              <w:rPr>
                <w:rFonts w:ascii="Calibri" w:hAnsi="Calibri" w:eastAsia="Hiragino Sans GB"/>
                <w:b w:val="0"/>
                <w:color w:val="111111"/>
                <w:sz w:val="17"/>
              </w:rPr>
              <w:t>是否具备可比较上周基线</w:t>
            </w:r>
          </w:p>
        </w:tc>
      </w:tr>
      <w:tr>
        <w:trPr>
          <w:cantSplit/>
        </w:trPr>
        <w:tc>
          <w:tcPr>
            <w:tcW w:type="dxa" w:w="2500"/>
            <w:tcMar>
              <w:top w:w="80" w:type="dxa"/>
              <w:bottom w:w="80" w:type="dxa"/>
              <w:start w:w="120" w:type="dxa"/>
              <w:end w:w="120" w:type="dxa"/>
            </w:tcMar>
          </w:tcPr>
          <w:p>
            <w:pPr>
              <w:spacing w:before="0" w:after="0" w:line="252" w:lineRule="auto"/>
            </w:pPr>
            <w:r>
              <w:rPr>
                <w:rFonts w:ascii="Calibri" w:hAnsi="Calibri" w:eastAsia="Hiragino Sans GB"/>
                <w:b/>
                <w:color w:val="111111"/>
                <w:sz w:val="17"/>
              </w:rPr>
              <w:t>结构化市场报价</w:t>
            </w:r>
          </w:p>
        </w:tc>
        <w:tc>
          <w:tcPr>
            <w:tcW w:type="dxa" w:w="1860"/>
            <w:tcMar>
              <w:top w:w="80" w:type="dxa"/>
              <w:bottom w:w="80" w:type="dxa"/>
              <w:start w:w="120" w:type="dxa"/>
              <w:end w:w="120" w:type="dxa"/>
            </w:tcMar>
          </w:tcPr>
          <w:p>
            <w:pPr>
              <w:spacing w:before="0" w:after="0" w:line="252" w:lineRule="auto"/>
            </w:pPr>
            <w:r>
              <w:rPr>
                <w:rFonts w:ascii="Calibri" w:hAnsi="Calibri" w:eastAsia="Hiragino Sans GB"/>
                <w:b/>
                <w:color w:val="D85B16"/>
                <w:sz w:val="16"/>
              </w:rPr>
              <w:t>warn · 0</w:t>
            </w:r>
          </w:p>
        </w:tc>
        <w:tc>
          <w:tcPr>
            <w:tcW w:type="dxa" w:w="5000"/>
            <w:tcMar>
              <w:top w:w="80" w:type="dxa"/>
              <w:bottom w:w="80" w:type="dxa"/>
              <w:start w:w="120" w:type="dxa"/>
              <w:end w:w="120" w:type="dxa"/>
            </w:tcMar>
          </w:tcPr>
          <w:p>
            <w:pPr>
              <w:spacing w:before="0" w:after="0" w:line="252" w:lineRule="auto"/>
            </w:pPr>
            <w:r>
              <w:rPr>
                <w:rFonts w:ascii="Calibri" w:hAnsi="Calibri" w:eastAsia="Hiragino Sans GB"/>
                <w:b w:val="0"/>
                <w:color w:val="111111"/>
                <w:sz w:val="17"/>
              </w:rPr>
              <w:t>是否具备结构化市场报价</w:t>
            </w:r>
          </w:p>
        </w:tc>
      </w:tr>
      <w:tr>
        <w:trPr>
          <w:cantSplit/>
        </w:trPr>
        <w:tc>
          <w:tcPr>
            <w:tcW w:type="dxa" w:w="2500"/>
            <w:tcMar>
              <w:top w:w="80" w:type="dxa"/>
              <w:bottom w:w="80" w:type="dxa"/>
              <w:start w:w="120" w:type="dxa"/>
              <w:end w:w="120" w:type="dxa"/>
            </w:tcMar>
          </w:tcPr>
          <w:p>
            <w:pPr>
              <w:spacing w:before="0" w:after="0" w:line="252" w:lineRule="auto"/>
            </w:pPr>
            <w:r>
              <w:rPr>
                <w:rFonts w:ascii="Calibri" w:hAnsi="Calibri" w:eastAsia="Hiragino Sans GB"/>
                <w:b/>
                <w:color w:val="111111"/>
                <w:sz w:val="17"/>
              </w:rPr>
              <w:t>人类友好综合</w:t>
            </w:r>
          </w:p>
        </w:tc>
        <w:tc>
          <w:tcPr>
            <w:tcW w:type="dxa" w:w="1860"/>
            <w:tcMar>
              <w:top w:w="80" w:type="dxa"/>
              <w:bottom w:w="80" w:type="dxa"/>
              <w:start w:w="120" w:type="dxa"/>
              <w:end w:w="120" w:type="dxa"/>
            </w:tcMar>
          </w:tcPr>
          <w:p>
            <w:pPr>
              <w:spacing w:before="0" w:after="0" w:line="252" w:lineRule="auto"/>
            </w:pPr>
            <w:r>
              <w:rPr>
                <w:rFonts w:ascii="Calibri" w:hAnsi="Calibri" w:eastAsia="Hiragino Sans GB"/>
                <w:b/>
                <w:color w:val="18864B"/>
                <w:sz w:val="16"/>
              </w:rPr>
              <w:t>pass · structured_llm</w:t>
            </w:r>
          </w:p>
        </w:tc>
        <w:tc>
          <w:tcPr>
            <w:tcW w:type="dxa" w:w="5000"/>
            <w:tcMar>
              <w:top w:w="80" w:type="dxa"/>
              <w:bottom w:w="80" w:type="dxa"/>
              <w:start w:w="120" w:type="dxa"/>
              <w:end w:w="120" w:type="dxa"/>
            </w:tcMar>
          </w:tcPr>
          <w:p>
            <w:pPr>
              <w:spacing w:before="0" w:after="0" w:line="252" w:lineRule="auto"/>
            </w:pPr>
            <w:r>
              <w:rPr>
                <w:rFonts w:ascii="Calibri" w:hAnsi="Calibri" w:eastAsia="Hiragino Sans GB"/>
                <w:b w:val="0"/>
                <w:color w:val="111111"/>
                <w:sz w:val="17"/>
              </w:rPr>
              <w:t>是否完成人类友好叙事综合</w:t>
            </w:r>
          </w:p>
        </w:tc>
      </w:tr>
    </w:tbl>
    <w:p>
      <w:pPr>
        <w:keepLines w:val="0"/>
      </w:pPr>
      <w:r>
        <w:rPr>
          <w:rFonts w:ascii="Calibri" w:hAnsi="Calibri" w:eastAsia="Hiragino Sans GB"/>
          <w:b/>
          <w:color w:val="C92A2A"/>
          <w:sz w:val="22"/>
        </w:rPr>
        <w:t>本版明确不发布：verified_market_performance · settled_forecast_hit_rate_and_brier</w:t>
      </w:r>
    </w:p>
    <w:p>
      <w:pPr>
        <w:keepLines w:val="0"/>
      </w:pPr>
      <w:r>
        <w:rPr>
          <w:rFonts w:ascii="Calibri" w:hAnsi="Calibri" w:eastAsia="Hiragino Sans GB"/>
          <w:b w:val="0"/>
          <w:color w:val="5E6268"/>
          <w:sz w:val="22"/>
        </w:rPr>
        <w:t>仅包含已发布研究合约、公开报告路径和可复查映射；不包含内部运行记录、鉴权或生产提示。</w:t>
      </w:r>
    </w:p>
    <w:p>
      <w:r>
        <w:br w:type="page"/>
      </w:r>
    </w:p>
    <w:p>
      <w:pPr>
        <w:pStyle w:val="SectionLabel"/>
      </w:pPr>
      <w:r>
        <w:rPr>
          <w:rFonts w:ascii="Calibri" w:hAnsi="Calibri" w:eastAsia="Hiragino Sans GB"/>
          <w:b/>
          <w:color w:val="1D5FD1"/>
          <w:sz w:val="17"/>
        </w:rPr>
        <w:t>PROVENANCE LEDGER</w:t>
      </w:r>
    </w:p>
    <w:p>
      <w:pPr>
        <w:pStyle w:val="Heading1"/>
      </w:pPr>
      <w:r>
        <w:t>9. 完整来源账本</w:t>
      </w:r>
    </w:p>
    <w:p>
      <w:pPr>
        <w:keepLines w:val="0"/>
      </w:pPr>
      <w:r>
        <w:rPr>
          <w:rFonts w:ascii="Calibri" w:hAnsi="Calibri" w:eastAsia="Hiragino Sans GB"/>
          <w:b w:val="0"/>
          <w:color w:val="111111"/>
          <w:sz w:val="22"/>
        </w:rPr>
        <w:t>共 80 条公开来源。标题可点击进入对应研究详情；本表保留日期、类别和主要证据角色。</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520"/>
        <w:gridCol w:w="1240"/>
        <w:gridCol w:w="5940"/>
        <w:gridCol w:w="1660"/>
      </w:tblGrid>
      <w:tr>
        <w:trPr>
          <w:cantSplit/>
          <w:tblHeader w:val="true"/>
        </w:trPr>
        <w:tc>
          <w:tcPr>
            <w:tcW w:type="dxa" w:w="52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5"/>
              </w:rPr>
              <w:t>NO.</w:t>
            </w:r>
          </w:p>
        </w:tc>
        <w:tc>
          <w:tcPr>
            <w:tcW w:type="dxa" w:w="124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5"/>
              </w:rPr>
              <w:t>DATE</w:t>
            </w:r>
          </w:p>
        </w:tc>
        <w:tc>
          <w:tcPr>
            <w:tcW w:type="dxa" w:w="594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5"/>
              </w:rPr>
              <w:t>REPORT</w:t>
            </w:r>
          </w:p>
        </w:tc>
        <w:tc>
          <w:tcPr>
            <w:tcW w:type="dxa" w:w="166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5"/>
              </w:rPr>
              <w:t>ROLE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01</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2026-07-10</w:t>
            </w:r>
          </w:p>
        </w:tc>
        <w:tc>
          <w:tcPr>
            <w:tcW w:type="dxa" w:w="5940"/>
            <w:tcMar>
              <w:top w:w="80" w:type="dxa"/>
              <w:bottom w:w="80" w:type="dxa"/>
              <w:start w:w="120" w:type="dxa"/>
              <w:end w:w="120" w:type="dxa"/>
            </w:tcMar>
          </w:tcPr>
          <w:p>
            <w:pPr>
              <w:spacing w:after="20"/>
            </w:pPr>
            <w:hyperlink r:id="rId23">
              <w:r>
                <w:rPr>
                  <w:color w:val="1D5FD1"/>
                  <w:u w:val="single"/>
                  <w:b/>
                  <w:sz w:val="16"/>
                  <w:szCs w:val="16"/>
                  <w:rFonts w:ascii="Calibri" w:hAnsi="Calibri" w:eastAsia="Hiragino Sans GB"/>
                </w:rPr>
                <w:t>容量电价与辅助服务市场化下电力运营商微观盈利模型重构</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02</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2026-07-10</w:t>
            </w:r>
          </w:p>
        </w:tc>
        <w:tc>
          <w:tcPr>
            <w:tcW w:type="dxa" w:w="5940"/>
            <w:tcMar>
              <w:top w:w="80" w:type="dxa"/>
              <w:bottom w:w="80" w:type="dxa"/>
              <w:start w:w="120" w:type="dxa"/>
              <w:end w:w="120" w:type="dxa"/>
            </w:tcMar>
          </w:tcPr>
          <w:p>
            <w:pPr>
              <w:spacing w:after="20"/>
            </w:pPr>
            <w:hyperlink r:id="rId64">
              <w:r>
                <w:rPr>
                  <w:color w:val="1D5FD1"/>
                  <w:u w:val="single"/>
                  <w:b/>
                  <w:sz w:val="16"/>
                  <w:szCs w:val="16"/>
                  <w:rFonts w:ascii="Calibri" w:hAnsi="Calibri" w:eastAsia="Hiragino Sans GB"/>
                </w:rPr>
                <w:t>A股硬科技：结构性切换还是拥挤反弹？</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03</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2026-07-10</w:t>
            </w:r>
          </w:p>
        </w:tc>
        <w:tc>
          <w:tcPr>
            <w:tcW w:type="dxa" w:w="5940"/>
            <w:tcMar>
              <w:top w:w="80" w:type="dxa"/>
              <w:bottom w:w="80" w:type="dxa"/>
              <w:start w:w="120" w:type="dxa"/>
              <w:end w:w="120" w:type="dxa"/>
            </w:tcMar>
          </w:tcPr>
          <w:p>
            <w:pPr>
              <w:spacing w:after="20"/>
            </w:pPr>
            <w:hyperlink r:id="rId20">
              <w:r>
                <w:rPr>
                  <w:color w:val="1D5FD1"/>
                  <w:u w:val="single"/>
                  <w:b/>
                  <w:sz w:val="16"/>
                  <w:szCs w:val="16"/>
                  <w:rFonts w:ascii="Calibri" w:hAnsi="Calibri" w:eastAsia="Hiragino Sans GB"/>
                </w:rPr>
                <w:t>2026-07-10 全球宏观报告：中国生产资料PPI再通胀能否传导至核心CPI？</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04</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2026-07-10</w:t>
            </w:r>
          </w:p>
        </w:tc>
        <w:tc>
          <w:tcPr>
            <w:tcW w:type="dxa" w:w="5940"/>
            <w:tcMar>
              <w:top w:w="80" w:type="dxa"/>
              <w:bottom w:w="80" w:type="dxa"/>
              <w:start w:w="120" w:type="dxa"/>
              <w:end w:w="120" w:type="dxa"/>
            </w:tcMar>
          </w:tcPr>
          <w:p>
            <w:pPr>
              <w:spacing w:after="20"/>
            </w:pPr>
            <w:hyperlink r:id="rId26">
              <w:r>
                <w:rPr>
                  <w:color w:val="1D5FD1"/>
                  <w:u w:val="single"/>
                  <w:b/>
                  <w:sz w:val="16"/>
                  <w:szCs w:val="16"/>
                  <w:rFonts w:ascii="Calibri" w:hAnsi="Calibri" w:eastAsia="Hiragino Sans GB"/>
                </w:rPr>
                <w:t>2026-07-10 全球宏观研究记录：信用低配后，久期对冲还是通胀保护？</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05</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2026-07-10</w:t>
            </w:r>
          </w:p>
        </w:tc>
        <w:tc>
          <w:tcPr>
            <w:tcW w:type="dxa" w:w="5940"/>
            <w:tcMar>
              <w:top w:w="80" w:type="dxa"/>
              <w:bottom w:w="80" w:type="dxa"/>
              <w:start w:w="120" w:type="dxa"/>
              <w:end w:w="120" w:type="dxa"/>
            </w:tcMar>
          </w:tcPr>
          <w:p>
            <w:pPr>
              <w:spacing w:after="20"/>
            </w:pPr>
            <w:hyperlink r:id="rId65">
              <w:r>
                <w:rPr>
                  <w:color w:val="1D5FD1"/>
                  <w:u w:val="single"/>
                  <w:b/>
                  <w:sz w:val="16"/>
                  <w:szCs w:val="16"/>
                  <w:rFonts w:ascii="Calibri" w:hAnsi="Calibri" w:eastAsia="Hiragino Sans GB"/>
                </w:rPr>
                <w:t>A股电子/PCB板块融资杠杆拥挤度与关税落地后次生管制风险评估 — 2026-07-10</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lane_evidence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06</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2026-07-10</w:t>
            </w:r>
          </w:p>
        </w:tc>
        <w:tc>
          <w:tcPr>
            <w:tcW w:type="dxa" w:w="5940"/>
            <w:tcMar>
              <w:top w:w="80" w:type="dxa"/>
              <w:bottom w:w="80" w:type="dxa"/>
              <w:start w:w="120" w:type="dxa"/>
              <w:end w:w="120" w:type="dxa"/>
            </w:tcMar>
          </w:tcPr>
          <w:p>
            <w:pPr>
              <w:spacing w:after="20"/>
            </w:pPr>
            <w:hyperlink r:id="rId24">
              <w:r>
                <w:rPr>
                  <w:color w:val="1D5FD1"/>
                  <w:u w:val="single"/>
                  <w:b/>
                  <w:sz w:val="16"/>
                  <w:szCs w:val="16"/>
                  <w:rFonts w:ascii="Calibri" w:hAnsi="Calibri" w:eastAsia="Hiragino Sans GB"/>
                </w:rPr>
                <w:t>A股硬科技：从拥挤的AI芯片重配至订单可验证的电力设备、储能与液冷改造链</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07</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2026-07-10</w:t>
            </w:r>
          </w:p>
        </w:tc>
        <w:tc>
          <w:tcPr>
            <w:tcW w:type="dxa" w:w="5940"/>
            <w:tcMar>
              <w:top w:w="80" w:type="dxa"/>
              <w:bottom w:w="80" w:type="dxa"/>
              <w:start w:w="120" w:type="dxa"/>
              <w:end w:w="120" w:type="dxa"/>
            </w:tcMar>
          </w:tcPr>
          <w:p>
            <w:pPr>
              <w:spacing w:after="20"/>
            </w:pPr>
            <w:hyperlink r:id="rId66">
              <w:r>
                <w:rPr>
                  <w:color w:val="1D5FD1"/>
                  <w:u w:val="single"/>
                  <w:b/>
                  <w:sz w:val="16"/>
                  <w:szCs w:val="16"/>
                  <w:rFonts w:ascii="Calibri" w:hAnsi="Calibri" w:eastAsia="Hiragino Sans GB"/>
                </w:rPr>
                <w:t>A股硬科技：结构性切换还是拥挤反弹？</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08</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2026-07-10</w:t>
            </w:r>
          </w:p>
        </w:tc>
        <w:tc>
          <w:tcPr>
            <w:tcW w:type="dxa" w:w="5940"/>
            <w:tcMar>
              <w:top w:w="80" w:type="dxa"/>
              <w:bottom w:w="80" w:type="dxa"/>
              <w:start w:w="120" w:type="dxa"/>
              <w:end w:w="120" w:type="dxa"/>
            </w:tcMar>
          </w:tcPr>
          <w:p>
            <w:pPr>
              <w:spacing w:after="20"/>
            </w:pPr>
            <w:hyperlink r:id="rId27">
              <w:r>
                <w:rPr>
                  <w:color w:val="1D5FD1"/>
                  <w:u w:val="single"/>
                  <w:b/>
                  <w:sz w:val="16"/>
                  <w:szCs w:val="16"/>
                  <w:rFonts w:ascii="Calibri" w:hAnsi="Calibri" w:eastAsia="Hiragino Sans GB"/>
                </w:rPr>
                <w:t>能源与利率成本双重挤压：AI 算力基础设施的 Capex 韧性</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stock_evidence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09</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2026-07-10</w:t>
            </w:r>
          </w:p>
        </w:tc>
        <w:tc>
          <w:tcPr>
            <w:tcW w:type="dxa" w:w="5940"/>
            <w:tcMar>
              <w:top w:w="80" w:type="dxa"/>
              <w:bottom w:w="80" w:type="dxa"/>
              <w:start w:w="120" w:type="dxa"/>
              <w:end w:w="120" w:type="dxa"/>
            </w:tcMar>
          </w:tcPr>
          <w:p>
            <w:pPr>
              <w:spacing w:after="20"/>
            </w:pPr>
            <w:hyperlink r:id="rId67">
              <w:r>
                <w:rPr>
                  <w:color w:val="1D5FD1"/>
                  <w:u w:val="single"/>
                  <w:b/>
                  <w:sz w:val="16"/>
                  <w:szCs w:val="16"/>
                  <w:rFonts w:ascii="Calibri" w:hAnsi="Calibri" w:eastAsia="Hiragino Sans GB"/>
                </w:rPr>
                <w:t>全球宏观专题报告：通胀路径验证、美联储反应函数与权益估值压力测试</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10</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2026-07-10</w:t>
            </w:r>
          </w:p>
        </w:tc>
        <w:tc>
          <w:tcPr>
            <w:tcW w:type="dxa" w:w="5940"/>
            <w:tcMar>
              <w:top w:w="80" w:type="dxa"/>
              <w:bottom w:w="80" w:type="dxa"/>
              <w:start w:w="120" w:type="dxa"/>
              <w:end w:w="120" w:type="dxa"/>
            </w:tcMar>
          </w:tcPr>
          <w:p>
            <w:pPr>
              <w:spacing w:after="20"/>
            </w:pPr>
            <w:hyperlink r:id="rId68">
              <w:r>
                <w:rPr>
                  <w:color w:val="1D5FD1"/>
                  <w:u w:val="single"/>
                  <w:b/>
                  <w:sz w:val="16"/>
                  <w:szCs w:val="16"/>
                  <w:rFonts w:ascii="Calibri" w:hAnsi="Calibri" w:eastAsia="Hiragino Sans GB"/>
                </w:rPr>
                <w:t>2026-07-10 半导体国产化向AI算力基础设施与电力需求的传导评估</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11</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2026-07-10</w:t>
            </w:r>
          </w:p>
        </w:tc>
        <w:tc>
          <w:tcPr>
            <w:tcW w:type="dxa" w:w="5940"/>
            <w:tcMar>
              <w:top w:w="80" w:type="dxa"/>
              <w:bottom w:w="80" w:type="dxa"/>
              <w:start w:w="120" w:type="dxa"/>
              <w:end w:w="120" w:type="dxa"/>
            </w:tcMar>
          </w:tcPr>
          <w:p>
            <w:pPr>
              <w:spacing w:after="20"/>
            </w:pPr>
            <w:hyperlink r:id="rId69">
              <w:r>
                <w:rPr>
                  <w:color w:val="1D5FD1"/>
                  <w:u w:val="single"/>
                  <w:b/>
                  <w:sz w:val="16"/>
                  <w:szCs w:val="16"/>
                  <w:rFonts w:ascii="Calibri" w:hAnsi="Calibri" w:eastAsia="Hiragino Sans GB"/>
                </w:rPr>
                <w:t>2026-07-10 策略卡：公用事业防守质量分化后，重设红利低波与电力仓位上限</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12</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2026-07-10</w:t>
            </w:r>
          </w:p>
        </w:tc>
        <w:tc>
          <w:tcPr>
            <w:tcW w:type="dxa" w:w="5940"/>
            <w:tcMar>
              <w:top w:w="80" w:type="dxa"/>
              <w:bottom w:w="80" w:type="dxa"/>
              <w:start w:w="120" w:type="dxa"/>
              <w:end w:w="120" w:type="dxa"/>
            </w:tcMar>
          </w:tcPr>
          <w:p>
            <w:pPr>
              <w:spacing w:after="20"/>
            </w:pPr>
            <w:hyperlink r:id="rId70">
              <w:r>
                <w:rPr>
                  <w:color w:val="1D5FD1"/>
                  <w:u w:val="single"/>
                  <w:b/>
                  <w:sz w:val="16"/>
                  <w:szCs w:val="16"/>
                  <w:rFonts w:ascii="Calibri" w:hAnsi="Calibri" w:eastAsia="Hiragino Sans GB"/>
                </w:rPr>
                <w:t>2026-07-10 策略卡：红利低波ETF与电力ETF微观流动性压力测试</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13</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2026-07-10</w:t>
            </w:r>
          </w:p>
        </w:tc>
        <w:tc>
          <w:tcPr>
            <w:tcW w:type="dxa" w:w="5940"/>
            <w:tcMar>
              <w:top w:w="80" w:type="dxa"/>
              <w:bottom w:w="80" w:type="dxa"/>
              <w:start w:w="120" w:type="dxa"/>
              <w:end w:w="120" w:type="dxa"/>
            </w:tcMar>
          </w:tcPr>
          <w:p>
            <w:pPr>
              <w:spacing w:after="20"/>
            </w:pPr>
            <w:hyperlink r:id="rId31">
              <w:r>
                <w:rPr>
                  <w:color w:val="1D5FD1"/>
                  <w:u w:val="single"/>
                  <w:b/>
                  <w:sz w:val="16"/>
                  <w:szCs w:val="16"/>
                  <w:rFonts w:ascii="Calibri" w:hAnsi="Calibri" w:eastAsia="Hiragino Sans GB"/>
                </w:rPr>
                <w:t>2026-07-10最终统一房观：油价冲击、离岸美元与carry尾部</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14</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2026-07-10</w:t>
            </w:r>
          </w:p>
        </w:tc>
        <w:tc>
          <w:tcPr>
            <w:tcW w:type="dxa" w:w="5940"/>
            <w:tcMar>
              <w:top w:w="80" w:type="dxa"/>
              <w:bottom w:w="80" w:type="dxa"/>
              <w:start w:w="120" w:type="dxa"/>
              <w:end w:w="120" w:type="dxa"/>
            </w:tcMar>
          </w:tcPr>
          <w:p>
            <w:pPr>
              <w:spacing w:after="20"/>
            </w:pPr>
            <w:hyperlink r:id="rId71">
              <w:r>
                <w:rPr>
                  <w:color w:val="1D5FD1"/>
                  <w:u w:val="single"/>
                  <w:b/>
                  <w:sz w:val="16"/>
                  <w:szCs w:val="16"/>
                  <w:rFonts w:ascii="Calibri" w:hAnsi="Calibri" w:eastAsia="Hiragino Sans GB"/>
                </w:rPr>
                <w:t>A股权益策略报告：B端食品加工链龙头（安井食品、千味央厨）在A股市场的筹码结构与两融去杠杆风险...</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15</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2026-07-10</w:t>
            </w:r>
          </w:p>
        </w:tc>
        <w:tc>
          <w:tcPr>
            <w:tcW w:type="dxa" w:w="5940"/>
            <w:tcMar>
              <w:top w:w="80" w:type="dxa"/>
              <w:bottom w:w="80" w:type="dxa"/>
              <w:start w:w="120" w:type="dxa"/>
              <w:end w:w="120" w:type="dxa"/>
            </w:tcMar>
          </w:tcPr>
          <w:p>
            <w:pPr>
              <w:spacing w:after="20"/>
            </w:pPr>
            <w:hyperlink r:id="rId72">
              <w:r>
                <w:rPr>
                  <w:color w:val="1D5FD1"/>
                  <w:u w:val="single"/>
                  <w:b/>
                  <w:sz w:val="16"/>
                  <w:szCs w:val="16"/>
                  <w:rFonts w:ascii="Calibri" w:hAnsi="Calibri" w:eastAsia="Hiragino Sans GB"/>
                </w:rPr>
                <w:t>先进AI服务器CCL/PCB上游树脂基体与特种玻璃布的国产化进度与替代技术路径验证</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16</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2026-07-10</w:t>
            </w:r>
          </w:p>
        </w:tc>
        <w:tc>
          <w:tcPr>
            <w:tcW w:type="dxa" w:w="5940"/>
            <w:tcMar>
              <w:top w:w="80" w:type="dxa"/>
              <w:bottom w:w="80" w:type="dxa"/>
              <w:start w:w="120" w:type="dxa"/>
              <w:end w:w="120" w:type="dxa"/>
            </w:tcMar>
          </w:tcPr>
          <w:p>
            <w:pPr>
              <w:spacing w:after="20"/>
            </w:pPr>
            <w:hyperlink r:id="rId73">
              <w:r>
                <w:rPr>
                  <w:color w:val="1D5FD1"/>
                  <w:u w:val="single"/>
                  <w:b/>
                  <w:sz w:val="16"/>
                  <w:szCs w:val="16"/>
                  <w:rFonts w:ascii="Calibri" w:hAnsi="Calibri" w:eastAsia="Hiragino Sans GB"/>
                </w:rPr>
                <w:t>USD/CNH 6.87 阈值后的动态套保与离岸美元流动性监控</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17</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2026-07-10</w:t>
            </w:r>
          </w:p>
        </w:tc>
        <w:tc>
          <w:tcPr>
            <w:tcW w:type="dxa" w:w="5940"/>
            <w:tcMar>
              <w:top w:w="80" w:type="dxa"/>
              <w:bottom w:w="80" w:type="dxa"/>
              <w:start w:w="120" w:type="dxa"/>
              <w:end w:w="120" w:type="dxa"/>
            </w:tcMar>
          </w:tcPr>
          <w:p>
            <w:pPr>
              <w:spacing w:after="20"/>
            </w:pPr>
            <w:hyperlink r:id="rId74">
              <w:r>
                <w:rPr>
                  <w:color w:val="1D5FD1"/>
                  <w:u w:val="single"/>
                  <w:b/>
                  <w:sz w:val="16"/>
                  <w:szCs w:val="16"/>
                  <w:rFonts w:ascii="Calibri" w:hAnsi="Calibri" w:eastAsia="Hiragino Sans GB"/>
                </w:rPr>
                <w:t>2026-07-10 每日综合：AI需求未退，定价权转向可交付电力</w:t>
              </w:r>
            </w:hyperlink>
            <w:r>
              <w:rPr>
                <w:rFonts w:ascii="Calibri" w:hAnsi="Calibri" w:eastAsia="Hiragino Sans GB"/>
                <w:color w:val="5E6268"/>
                <w:sz w:val="14"/>
              </w:rPr>
              <w:br/>
              <w:t>AI Institute 综合编辑 · Reader report</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daily_synthesis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18</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2026-07-10</w:t>
            </w:r>
          </w:p>
        </w:tc>
        <w:tc>
          <w:tcPr>
            <w:tcW w:type="dxa" w:w="5940"/>
            <w:tcMar>
              <w:top w:w="80" w:type="dxa"/>
              <w:bottom w:w="80" w:type="dxa"/>
              <w:start w:w="120" w:type="dxa"/>
              <w:end w:w="120" w:type="dxa"/>
            </w:tcMar>
          </w:tcPr>
          <w:p>
            <w:pPr>
              <w:spacing w:after="20"/>
            </w:pPr>
            <w:hyperlink r:id="rId75">
              <w:r>
                <w:rPr>
                  <w:color w:val="1D5FD1"/>
                  <w:u w:val="single"/>
                  <w:b/>
                  <w:sz w:val="16"/>
                  <w:szCs w:val="16"/>
                  <w:rFonts w:ascii="Calibri" w:hAnsi="Calibri" w:eastAsia="Hiragino Sans GB"/>
                </w:rPr>
                <w:t>伊朗停火破裂与美债收益率上行：持续宏观冲击，还是一日头条？</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19</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2026-07-10</w:t>
            </w:r>
          </w:p>
        </w:tc>
        <w:tc>
          <w:tcPr>
            <w:tcW w:type="dxa" w:w="5940"/>
            <w:tcMar>
              <w:top w:w="80" w:type="dxa"/>
              <w:bottom w:w="80" w:type="dxa"/>
              <w:start w:w="120" w:type="dxa"/>
              <w:end w:w="120" w:type="dxa"/>
            </w:tcMar>
          </w:tcPr>
          <w:p>
            <w:pPr>
              <w:spacing w:after="20"/>
            </w:pPr>
            <w:hyperlink r:id="rId76">
              <w:r>
                <w:rPr>
                  <w:color w:val="1D5FD1"/>
                  <w:u w:val="single"/>
                  <w:b/>
                  <w:sz w:val="16"/>
                  <w:szCs w:val="16"/>
                  <w:rFonts w:ascii="Calibri" w:hAnsi="Calibri" w:eastAsia="Hiragino Sans GB"/>
                </w:rPr>
                <w:t>人民币与亚洲FX是否确认美债/油价冲击？6.82–6.85 的突破是政策选择，而非市场裁决</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stock_evidence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20</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2026-07-10</w:t>
            </w:r>
          </w:p>
        </w:tc>
        <w:tc>
          <w:tcPr>
            <w:tcW w:type="dxa" w:w="5940"/>
            <w:tcMar>
              <w:top w:w="80" w:type="dxa"/>
              <w:bottom w:w="80" w:type="dxa"/>
              <w:start w:w="120" w:type="dxa"/>
              <w:end w:w="120" w:type="dxa"/>
            </w:tcMar>
          </w:tcPr>
          <w:p>
            <w:pPr>
              <w:spacing w:after="20"/>
            </w:pPr>
            <w:hyperlink r:id="rId77">
              <w:r>
                <w:rPr>
                  <w:color w:val="1D5FD1"/>
                  <w:u w:val="single"/>
                  <w:b/>
                  <w:sz w:val="16"/>
                  <w:szCs w:val="16"/>
                  <w:rFonts w:ascii="Calibri" w:hAnsi="Calibri" w:eastAsia="Hiragino Sans GB"/>
                </w:rPr>
                <w:t>债券市场配置与收益率曲线策略建议报告：应对美联储“沃什新政”下的高波动环境</w:t>
              </w:r>
            </w:hyperlink>
            <w:r>
              <w:rPr>
                <w:rFonts w:ascii="Calibri" w:hAnsi="Calibri" w:eastAsia="Hiragino Sans GB"/>
                <w:color w:val="5E6268"/>
                <w:sz w:val="14"/>
              </w:rPr>
              <w:br/>
              <w:t>债券分析师 · 每日任务报告</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21</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2026-07-10</w:t>
            </w:r>
          </w:p>
        </w:tc>
        <w:tc>
          <w:tcPr>
            <w:tcW w:type="dxa" w:w="5940"/>
            <w:tcMar>
              <w:top w:w="80" w:type="dxa"/>
              <w:bottom w:w="80" w:type="dxa"/>
              <w:start w:w="120" w:type="dxa"/>
              <w:end w:w="120" w:type="dxa"/>
            </w:tcMar>
          </w:tcPr>
          <w:p>
            <w:pPr>
              <w:spacing w:after="20"/>
            </w:pPr>
            <w:hyperlink r:id="rId78">
              <w:r>
                <w:rPr>
                  <w:color w:val="1D5FD1"/>
                  <w:u w:val="single"/>
                  <w:b/>
                  <w:sz w:val="16"/>
                  <w:szCs w:val="16"/>
                  <w:rFonts w:ascii="Calibri" w:hAnsi="Calibri" w:eastAsia="Hiragino Sans GB"/>
                </w:rPr>
                <w:t>隔夜市场情绪与资金流向扫描 (2026-07-10)</w:t>
              </w:r>
            </w:hyperlink>
            <w:r>
              <w:rPr>
                <w:rFonts w:ascii="Calibri" w:hAnsi="Calibri" w:eastAsia="Hiragino Sans GB"/>
                <w:color w:val="5E6268"/>
                <w:sz w:val="14"/>
              </w:rPr>
              <w:br/>
              <w:t>市场情绪师 · 每日任务报告</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22</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2026-07-10</w:t>
            </w:r>
          </w:p>
        </w:tc>
        <w:tc>
          <w:tcPr>
            <w:tcW w:type="dxa" w:w="5940"/>
            <w:tcMar>
              <w:top w:w="80" w:type="dxa"/>
              <w:bottom w:w="80" w:type="dxa"/>
              <w:start w:w="120" w:type="dxa"/>
              <w:end w:w="120" w:type="dxa"/>
            </w:tcMar>
          </w:tcPr>
          <w:p>
            <w:pPr>
              <w:spacing w:after="20"/>
            </w:pPr>
            <w:hyperlink r:id="rId79">
              <w:r>
                <w:rPr>
                  <w:color w:val="1D5FD1"/>
                  <w:u w:val="single"/>
                  <w:b/>
                  <w:sz w:val="16"/>
                  <w:szCs w:val="16"/>
                  <w:rFonts w:ascii="Calibri" w:hAnsi="Calibri" w:eastAsia="Hiragino Sans GB"/>
                </w:rPr>
                <w:t>2026-07-10 债券卡：5-7年主权债子仓的曲线落地 + payer swaption 鹰派尾部对冲的构建</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23</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2026-07-10</w:t>
            </w:r>
          </w:p>
        </w:tc>
        <w:tc>
          <w:tcPr>
            <w:tcW w:type="dxa" w:w="5940"/>
            <w:tcMar>
              <w:top w:w="80" w:type="dxa"/>
              <w:bottom w:w="80" w:type="dxa"/>
              <w:start w:w="120" w:type="dxa"/>
              <w:end w:w="120" w:type="dxa"/>
            </w:tcMar>
          </w:tcPr>
          <w:p>
            <w:pPr>
              <w:spacing w:after="20"/>
            </w:pPr>
            <w:hyperlink r:id="rId22">
              <w:r>
                <w:rPr>
                  <w:color w:val="1D5FD1"/>
                  <w:u w:val="single"/>
                  <w:b/>
                  <w:sz w:val="16"/>
                  <w:szCs w:val="16"/>
                  <w:rFonts w:ascii="Calibri" w:hAnsi="Calibri" w:eastAsia="Hiragino Sans GB"/>
                </w:rPr>
                <w:t>黄金避险飙升对日元套息交易与外汇波动率的影响</w:t>
              </w:r>
            </w:hyperlink>
            <w:r>
              <w:rPr>
                <w:rFonts w:ascii="Calibri" w:hAnsi="Calibri" w:eastAsia="Hiragino Sans GB"/>
                <w:color w:val="5E6268"/>
                <w:sz w:val="14"/>
              </w:rPr>
              <w:br/>
              <w:t>外汇策略师 · 每日任务报告</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24</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2026-07-10</w:t>
            </w:r>
          </w:p>
        </w:tc>
        <w:tc>
          <w:tcPr>
            <w:tcW w:type="dxa" w:w="5940"/>
            <w:tcMar>
              <w:top w:w="80" w:type="dxa"/>
              <w:bottom w:w="80" w:type="dxa"/>
              <w:start w:w="120" w:type="dxa"/>
              <w:end w:w="120" w:type="dxa"/>
            </w:tcMar>
          </w:tcPr>
          <w:p>
            <w:pPr>
              <w:spacing w:after="20"/>
            </w:pPr>
            <w:hyperlink r:id="rId80">
              <w:r>
                <w:rPr>
                  <w:color w:val="1D5FD1"/>
                  <w:u w:val="single"/>
                  <w:b/>
                  <w:sz w:val="16"/>
                  <w:szCs w:val="16"/>
                  <w:rFonts w:ascii="Calibri" w:hAnsi="Calibri" w:eastAsia="Hiragino Sans GB"/>
                </w:rPr>
                <w:t>GB300/Rubin 混压 CCL 的 BOM 占比与压合良率测算 - 2026-07-10</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25</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2026-07-10</w:t>
            </w:r>
          </w:p>
        </w:tc>
        <w:tc>
          <w:tcPr>
            <w:tcW w:type="dxa" w:w="5940"/>
            <w:tcMar>
              <w:top w:w="80" w:type="dxa"/>
              <w:bottom w:w="80" w:type="dxa"/>
              <w:start w:w="120" w:type="dxa"/>
              <w:end w:w="120" w:type="dxa"/>
            </w:tcMar>
          </w:tcPr>
          <w:p>
            <w:pPr>
              <w:spacing w:after="20"/>
            </w:pPr>
            <w:hyperlink r:id="rId81">
              <w:r>
                <w:rPr>
                  <w:color w:val="1D5FD1"/>
                  <w:u w:val="single"/>
                  <w:b/>
                  <w:sz w:val="16"/>
                  <w:szCs w:val="16"/>
                  <w:rFonts w:ascii="Calibri" w:hAnsi="Calibri" w:eastAsia="Hiragino Sans GB"/>
                </w:rPr>
                <w:t>日元套利平仓冲击下的多资产组合风险预算重构与凸性防线</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26</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2026-07-10</w:t>
            </w:r>
          </w:p>
        </w:tc>
        <w:tc>
          <w:tcPr>
            <w:tcW w:type="dxa" w:w="5940"/>
            <w:tcMar>
              <w:top w:w="80" w:type="dxa"/>
              <w:bottom w:w="80" w:type="dxa"/>
              <w:start w:w="120" w:type="dxa"/>
              <w:end w:w="120" w:type="dxa"/>
            </w:tcMar>
          </w:tcPr>
          <w:p>
            <w:pPr>
              <w:spacing w:after="20"/>
            </w:pPr>
            <w:hyperlink r:id="rId19">
              <w:r>
                <w:rPr>
                  <w:color w:val="1D5FD1"/>
                  <w:u w:val="single"/>
                  <w:b/>
                  <w:sz w:val="16"/>
                  <w:szCs w:val="16"/>
                  <w:rFonts w:ascii="Calibri" w:hAnsi="Calibri" w:eastAsia="Hiragino Sans GB"/>
                </w:rPr>
                <w:t>2026-07-10 消费内部防御倾斜转化为组合权重：不全面 Risk-Off 的结构性配置与对冲策略</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27</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2026-07-10</w:t>
            </w:r>
          </w:p>
        </w:tc>
        <w:tc>
          <w:tcPr>
            <w:tcW w:type="dxa" w:w="5940"/>
            <w:tcMar>
              <w:top w:w="80" w:type="dxa"/>
              <w:bottom w:w="80" w:type="dxa"/>
              <w:start w:w="120" w:type="dxa"/>
              <w:end w:w="120" w:type="dxa"/>
            </w:tcMar>
          </w:tcPr>
          <w:p>
            <w:pPr>
              <w:spacing w:after="20"/>
            </w:pPr>
            <w:hyperlink r:id="rId18">
              <w:r>
                <w:rPr>
                  <w:color w:val="1D5FD1"/>
                  <w:u w:val="single"/>
                  <w:b/>
                  <w:sz w:val="16"/>
                  <w:szCs w:val="16"/>
                  <w:rFonts w:ascii="Calibri" w:hAnsi="Calibri" w:eastAsia="Hiragino Sans GB"/>
                </w:rPr>
                <w:t>2026-07-10 宏观研究记录：油价冲击为何没有引发典型避险？</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28</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2026-07-10</w:t>
            </w:r>
          </w:p>
        </w:tc>
        <w:tc>
          <w:tcPr>
            <w:tcW w:type="dxa" w:w="5940"/>
            <w:tcMar>
              <w:top w:w="80" w:type="dxa"/>
              <w:bottom w:w="80" w:type="dxa"/>
              <w:start w:w="120" w:type="dxa"/>
              <w:end w:w="120" w:type="dxa"/>
            </w:tcMar>
          </w:tcPr>
          <w:p>
            <w:pPr>
              <w:spacing w:after="20"/>
            </w:pPr>
            <w:hyperlink r:id="rId82">
              <w:r>
                <w:rPr>
                  <w:color w:val="1D5FD1"/>
                  <w:u w:val="single"/>
                  <w:b/>
                  <w:sz w:val="16"/>
                  <w:szCs w:val="16"/>
                  <w:rFonts w:ascii="Calibri" w:hAnsi="Calibri" w:eastAsia="Hiragino Sans GB"/>
                </w:rPr>
                <w:t>全球宏观研究报告：驱动两融宏观调光器的流动性风格拐点信号</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29</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2026-07-10</w:t>
            </w:r>
          </w:p>
        </w:tc>
        <w:tc>
          <w:tcPr>
            <w:tcW w:type="dxa" w:w="5940"/>
            <w:tcMar>
              <w:top w:w="80" w:type="dxa"/>
              <w:bottom w:w="80" w:type="dxa"/>
              <w:start w:w="120" w:type="dxa"/>
              <w:end w:w="120" w:type="dxa"/>
            </w:tcMar>
          </w:tcPr>
          <w:p>
            <w:pPr>
              <w:spacing w:after="20"/>
            </w:pPr>
            <w:hyperlink r:id="rId83">
              <w:r>
                <w:rPr>
                  <w:color w:val="1D5FD1"/>
                  <w:u w:val="single"/>
                  <w:b/>
                  <w:sz w:val="16"/>
                  <w:szCs w:val="16"/>
                  <w:rFonts w:ascii="Calibri" w:hAnsi="Calibri" w:eastAsia="Hiragino Sans GB"/>
                </w:rPr>
                <w:t>2026-07-10 大类资产配置卡：把 40/25/25/10 杠铃结构落成可执行权重、再平衡触发器与压力测试</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30</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2026-07-10</w:t>
            </w:r>
          </w:p>
        </w:tc>
        <w:tc>
          <w:tcPr>
            <w:tcW w:type="dxa" w:w="5940"/>
            <w:tcMar>
              <w:top w:w="80" w:type="dxa"/>
              <w:bottom w:w="80" w:type="dxa"/>
              <w:start w:w="120" w:type="dxa"/>
              <w:end w:w="120" w:type="dxa"/>
            </w:tcMar>
          </w:tcPr>
          <w:p>
            <w:pPr>
              <w:spacing w:after="20"/>
            </w:pPr>
            <w:hyperlink r:id="rId84">
              <w:r>
                <w:rPr>
                  <w:color w:val="1D5FD1"/>
                  <w:u w:val="single"/>
                  <w:b/>
                  <w:sz w:val="16"/>
                  <w:szCs w:val="16"/>
                  <w:rFonts w:ascii="Calibri" w:hAnsi="Calibri" w:eastAsia="Hiragino Sans GB"/>
                </w:rPr>
                <w:t>Netflix 广告套餐迁移：留存安全垫，还是 ARPU 稀释陷阱？</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31</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2026-07-10</w:t>
            </w:r>
          </w:p>
        </w:tc>
        <w:tc>
          <w:tcPr>
            <w:tcW w:type="dxa" w:w="5940"/>
            <w:tcMar>
              <w:top w:w="80" w:type="dxa"/>
              <w:bottom w:w="80" w:type="dxa"/>
              <w:start w:w="120" w:type="dxa"/>
              <w:end w:w="120" w:type="dxa"/>
            </w:tcMar>
          </w:tcPr>
          <w:p>
            <w:pPr>
              <w:spacing w:after="20"/>
            </w:pPr>
            <w:hyperlink r:id="rId85">
              <w:r>
                <w:rPr>
                  <w:color w:val="1D5FD1"/>
                  <w:u w:val="single"/>
                  <w:b/>
                  <w:sz w:val="16"/>
                  <w:szCs w:val="16"/>
                  <w:rFonts w:ascii="Calibri" w:hAnsi="Calibri" w:eastAsia="Hiragino Sans GB"/>
                </w:rPr>
                <w:t>Netflix 社交端声量暴增：短视频与并购传闻是自救还是陷阱？</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32</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86">
              <w:r>
                <w:rPr>
                  <w:color w:val="1D5FD1"/>
                  <w:u w:val="single"/>
                  <w:b/>
                  <w:sz w:val="16"/>
                  <w:szCs w:val="16"/>
                  <w:rFonts w:ascii="Calibri" w:hAnsi="Calibri" w:eastAsia="Hiragino Sans GB"/>
                </w:rPr>
                <w:t>核电PPA确定性对AI数据中心扩容节奏的约束效应，2026-07-09</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33</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87">
              <w:r>
                <w:rPr>
                  <w:color w:val="1D5FD1"/>
                  <w:u w:val="single"/>
                  <w:b/>
                  <w:sz w:val="16"/>
                  <w:szCs w:val="16"/>
                  <w:rFonts w:ascii="Calibri" w:hAnsi="Calibri" w:eastAsia="Hiragino Sans GB"/>
                </w:rPr>
                <w:t>AI电力瓶颈与核能公用事业估值重塑 - 2026-07-09</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34</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88">
              <w:r>
                <w:rPr>
                  <w:color w:val="1D5FD1"/>
                  <w:u w:val="single"/>
                  <w:b/>
                  <w:sz w:val="16"/>
                  <w:szCs w:val="16"/>
                  <w:rFonts w:ascii="Calibri" w:hAnsi="Calibri" w:eastAsia="Hiragino Sans GB"/>
                </w:rPr>
                <w:t>GPU/HBM/先进封装交付节奏与核电可交付电力窗口的匹配度，2026-07-09</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35</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89">
              <w:r>
                <w:rPr>
                  <w:color w:val="1D5FD1"/>
                  <w:u w:val="single"/>
                  <w:b/>
                  <w:sz w:val="16"/>
                  <w:szCs w:val="16"/>
                  <w:rFonts w:ascii="Calibri" w:hAnsi="Calibri" w:eastAsia="Hiragino Sans GB"/>
                </w:rPr>
                <w:t>把全球双峰利率杠铃映射到A股风格轮动：红利/红筹锚 vs. 成长久期</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36</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90">
              <w:r>
                <w:rPr>
                  <w:color w:val="1D5FD1"/>
                  <w:u w:val="single"/>
                  <w:b/>
                  <w:sz w:val="16"/>
                  <w:szCs w:val="16"/>
                  <w:rFonts w:ascii="Calibri" w:hAnsi="Calibri" w:eastAsia="Hiragino Sans GB"/>
                </w:rPr>
                <w:t>餐饮连锁化扩张与B端食品加工供应链支撑力分析</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37</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91">
              <w:r>
                <w:rPr>
                  <w:color w:val="1D5FD1"/>
                  <w:u w:val="single"/>
                  <w:b/>
                  <w:sz w:val="16"/>
                  <w:szCs w:val="16"/>
                  <w:rFonts w:ascii="Calibri" w:hAnsi="Calibri" w:eastAsia="Hiragino Sans GB"/>
                </w:rPr>
                <w:t>2026-07-09 A股主线向电网设备与物理红利的风格切换中的指数重估与隐含波动率建仓时点</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38</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92">
              <w:r>
                <w:rPr>
                  <w:color w:val="1D5FD1"/>
                  <w:u w:val="single"/>
                  <w:b/>
                  <w:sz w:val="16"/>
                  <w:szCs w:val="16"/>
                  <w:rFonts w:ascii="Calibri" w:hAnsi="Calibri" w:eastAsia="Hiragino Sans GB"/>
                </w:rPr>
                <w:t>2026-07-09 A股策略研究记录07：电网装备与优质红利篮子构建</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39</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93">
              <w:r>
                <w:rPr>
                  <w:color w:val="1D5FD1"/>
                  <w:u w:val="single"/>
                  <w:b/>
                  <w:sz w:val="16"/>
                  <w:szCs w:val="16"/>
                  <w:rFonts w:ascii="Calibri" w:hAnsi="Calibri" w:eastAsia="Hiragino Sans GB"/>
                </w:rPr>
                <w:t>2026-07-09 TMT 压力测试：医疗设备多头逻辑存在未被建模的半导体与算力瓶颈</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40</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94">
              <w:r>
                <w:rPr>
                  <w:color w:val="1D5FD1"/>
                  <w:u w:val="single"/>
                  <w:b/>
                  <w:sz w:val="16"/>
                  <w:szCs w:val="16"/>
                  <w:rFonts w:ascii="Calibri" w:hAnsi="Calibri" w:eastAsia="Hiragino Sans GB"/>
                </w:rPr>
                <w:t>2026-07-09 全球宏观综合：5万亿设备更新周期的财政可持续性</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41</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95">
              <w:r>
                <w:rPr>
                  <w:color w:val="1D5FD1"/>
                  <w:u w:val="single"/>
                  <w:b/>
                  <w:sz w:val="16"/>
                  <w:szCs w:val="16"/>
                  <w:rFonts w:ascii="Calibri" w:hAnsi="Calibri" w:eastAsia="Hiragino Sans GB"/>
                </w:rPr>
                <w:t>AI算力基建分层交易：将已上调的半导体AI基建篮子转化为A股去杠杆期持仓规则</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42</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96">
              <w:r>
                <w:rPr>
                  <w:color w:val="1D5FD1"/>
                  <w:u w:val="single"/>
                  <w:b/>
                  <w:sz w:val="16"/>
                  <w:szCs w:val="16"/>
                  <w:rFonts w:ascii="Calibri" w:hAnsi="Calibri" w:eastAsia="Hiragino Sans GB"/>
                </w:rPr>
                <w:t>产业链调研报告：工业机械产业链（2026-07-09）</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lane_evidence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43</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97">
              <w:r>
                <w:rPr>
                  <w:color w:val="1D5FD1"/>
                  <w:u w:val="single"/>
                  <w:b/>
                  <w:sz w:val="16"/>
                  <w:szCs w:val="16"/>
                  <w:rFonts w:ascii="Calibri" w:hAnsi="Calibri" w:eastAsia="Hiragino Sans GB"/>
                </w:rPr>
                <w:t>将风控限额转化为A股两融、质押与行业轮动执行清单</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44</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98">
              <w:r>
                <w:rPr>
                  <w:color w:val="1D5FD1"/>
                  <w:u w:val="single"/>
                  <w:b/>
                  <w:sz w:val="16"/>
                  <w:szCs w:val="16"/>
                  <w:rFonts w:ascii="Calibri" w:hAnsi="Calibri" w:eastAsia="Hiragino Sans GB"/>
                </w:rPr>
                <w:t>首席策略师 — 配置方案：工业机械红利现金牛 vs. 两融出清后的科技成长（2026-07-09）</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45</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99">
              <w:r>
                <w:rPr>
                  <w:color w:val="1D5FD1"/>
                  <w:u w:val="single"/>
                  <w:b/>
                  <w:sz w:val="16"/>
                  <w:szCs w:val="16"/>
                  <w:rFonts w:ascii="Calibri" w:hAnsi="Calibri" w:eastAsia="Hiragino Sans GB"/>
                </w:rPr>
                <w:t>AI基建净通胀-增长脉冲的量化与沃什美联储反应函数</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46</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100">
              <w:r>
                <w:rPr>
                  <w:color w:val="1D5FD1"/>
                  <w:u w:val="single"/>
                  <w:b/>
                  <w:sz w:val="16"/>
                  <w:szCs w:val="16"/>
                  <w:rFonts w:ascii="Calibri" w:hAnsi="Calibri" w:eastAsia="Hiragino Sans GB"/>
                </w:rPr>
                <w:t>国茂股份 603915.SH：反内卷与《价格法》修订能否在2026下半年修复定价权？工作日期 2026-07-09</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47</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101">
              <w:r>
                <w:rPr>
                  <w:color w:val="1D5FD1"/>
                  <w:u w:val="single"/>
                  <w:b/>
                  <w:sz w:val="16"/>
                  <w:szCs w:val="16"/>
                  <w:rFonts w:ascii="Calibri" w:hAnsi="Calibri" w:eastAsia="Hiragino Sans GB"/>
                </w:rPr>
                <w:t>大模型备案与商业化准入中推理端国产算力占比的合规监管分析报告</w:t>
              </w:r>
            </w:hyperlink>
            <w:r>
              <w:rPr>
                <w:rFonts w:ascii="Calibri" w:hAnsi="Calibri" w:eastAsia="Hiragino Sans GB"/>
                <w:color w:val="5E6268"/>
                <w:sz w:val="14"/>
              </w:rPr>
              <w:br/>
              <w:t>政策分析师 · 每日任务报告</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48</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102">
              <w:r>
                <w:rPr>
                  <w:color w:val="1D5FD1"/>
                  <w:u w:val="single"/>
                  <w:b/>
                  <w:sz w:val="16"/>
                  <w:szCs w:val="16"/>
                  <w:rFonts w:ascii="Calibri" w:hAnsi="Calibri" w:eastAsia="Hiragino Sans GB"/>
                </w:rPr>
                <w:t>市场情绪午间扫描与研究议题推介（2026年07月09日）</w:t>
              </w:r>
            </w:hyperlink>
            <w:r>
              <w:rPr>
                <w:rFonts w:ascii="Calibri" w:hAnsi="Calibri" w:eastAsia="Hiragino Sans GB"/>
                <w:color w:val="5E6268"/>
                <w:sz w:val="14"/>
              </w:rPr>
              <w:br/>
              <w:t>市场情绪师 · 每日任务报告</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49</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103">
              <w:r>
                <w:rPr>
                  <w:color w:val="1D5FD1"/>
                  <w:u w:val="single"/>
                  <w:b/>
                  <w:sz w:val="16"/>
                  <w:szCs w:val="16"/>
                  <w:rFonts w:ascii="Calibri" w:hAnsi="Calibri" w:eastAsia="Hiragino Sans GB"/>
                </w:rPr>
                <w:t>必选消费的定价权神话终结了吗？百事、防御性溢价与"渠道壁垒型零售商"的取舍</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50</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104">
              <w:r>
                <w:rPr>
                  <w:color w:val="1D5FD1"/>
                  <w:u w:val="single"/>
                  <w:b/>
                  <w:sz w:val="16"/>
                  <w:szCs w:val="16"/>
                  <w:rFonts w:ascii="Calibri" w:hAnsi="Calibri" w:eastAsia="Hiragino Sans GB"/>
                </w:rPr>
                <w:t>第二层估值命门：国产AI算力资本开支/订单周期，是多年建设还是前置透支的气穴？—— 工作日 2026-...</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lane_evidence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51</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105">
              <w:r>
                <w:rPr>
                  <w:color w:val="1D5FD1"/>
                  <w:u w:val="single"/>
                  <w:b/>
                  <w:sz w:val="16"/>
                  <w:szCs w:val="16"/>
                  <w:rFonts w:ascii="Calibri" w:hAnsi="Calibri" w:eastAsia="Hiragino Sans GB"/>
                </w:rPr>
                <w:t>高端电子布/石英布：定价权逐项压力测试 —— 宏和科技603256、菲利华300395、中材科技002080 ——...</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52</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106">
              <w:r>
                <w:rPr>
                  <w:color w:val="1D5FD1"/>
                  <w:u w:val="single"/>
                  <w:b/>
                  <w:sz w:val="16"/>
                  <w:szCs w:val="16"/>
                  <w:rFonts w:ascii="Calibri" w:hAnsi="Calibri" w:eastAsia="Hiragino Sans GB"/>
                </w:rPr>
                <w:t>2026-07-09 - AI园区季度通电、液冷与GPU利用率兑现报告 (2027-2028)</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53</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107">
              <w:r>
                <w:rPr>
                  <w:color w:val="1D5FD1"/>
                  <w:u w:val="single"/>
                  <w:b/>
                  <w:sz w:val="16"/>
                  <w:szCs w:val="16"/>
                  <w:rFonts w:ascii="Calibri" w:hAnsi="Calibri" w:eastAsia="Hiragino Sans GB"/>
                </w:rPr>
                <w:t>2026-07-09 美联储反应函数：look through 油价，还是 9 月兑现加息？</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54</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108">
              <w:r>
                <w:rPr>
                  <w:color w:val="1D5FD1"/>
                  <w:u w:val="single"/>
                  <w:b/>
                  <w:sz w:val="16"/>
                  <w:szCs w:val="16"/>
                  <w:rFonts w:ascii="Calibri" w:hAnsi="Calibri" w:eastAsia="Hiragino Sans GB"/>
                </w:rPr>
                <w:t>科创50制度的半导体基本面底座：订单周期是真的，边际价格却脱离了它 —— 工作日 2026-07-09</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lane_evidence / stock_evidence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55</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109">
              <w:r>
                <w:rPr>
                  <w:color w:val="1D5FD1"/>
                  <w:u w:val="single"/>
                  <w:b/>
                  <w:sz w:val="16"/>
                  <w:szCs w:val="16"/>
                  <w:rFonts w:ascii="Calibri" w:hAnsi="Calibri" w:eastAsia="Hiragino Sans GB"/>
                </w:rPr>
                <w:t>端侧 AI 分流对电网电力论点的封顶效应：一份量化压力测试</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56</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110">
              <w:r>
                <w:rPr>
                  <w:color w:val="1D5FD1"/>
                  <w:u w:val="single"/>
                  <w:b/>
                  <w:sz w:val="16"/>
                  <w:szCs w:val="16"/>
                  <w:rFonts w:ascii="Calibri" w:hAnsi="Calibri" w:eastAsia="Hiragino Sans GB"/>
                </w:rPr>
                <w:t>2026-07-09 期限溢价主导下的全球资产再平衡与组合配置策略</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57</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111">
              <w:r>
                <w:rPr>
                  <w:color w:val="1D5FD1"/>
                  <w:u w:val="single"/>
                  <w:b/>
                  <w:sz w:val="16"/>
                  <w:szCs w:val="16"/>
                  <w:rFonts w:ascii="Calibri" w:hAnsi="Calibri" w:eastAsia="Hiragino Sans GB"/>
                </w:rPr>
                <w:t>原油市场监测：WTI、Brent、OPEC+与库存</w:t>
              </w:r>
            </w:hyperlink>
            <w:r>
              <w:rPr>
                <w:rFonts w:ascii="Calibri" w:hAnsi="Calibri" w:eastAsia="Hiragino Sans GB"/>
                <w:color w:val="5E6268"/>
                <w:sz w:val="14"/>
              </w:rPr>
              <w:br/>
              <w:t>能源行业分析师 · 每日任务报告</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58</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112">
              <w:r>
                <w:rPr>
                  <w:color w:val="1D5FD1"/>
                  <w:u w:val="single"/>
                  <w:b/>
                  <w:sz w:val="16"/>
                  <w:szCs w:val="16"/>
                  <w:rFonts w:ascii="Calibri" w:hAnsi="Calibri" w:eastAsia="Hiragino Sans GB"/>
                </w:rPr>
                <w:t>AI基础设施压力测试：DeepSeek推理通缩是否触发算力指数级扩张与电力/电网硬约束？</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59</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113">
              <w:r>
                <w:rPr>
                  <w:color w:val="1D5FD1"/>
                  <w:u w:val="single"/>
                  <w:b/>
                  <w:sz w:val="16"/>
                  <w:szCs w:val="16"/>
                  <w:rFonts w:ascii="Calibri" w:hAnsi="Calibri" w:eastAsia="Hiragino Sans GB"/>
                </w:rPr>
                <w:t>A股AI/ETF承接是风险偏好修复还是流动性陷阱？</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60</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114">
              <w:r>
                <w:rPr>
                  <w:color w:val="1D5FD1"/>
                  <w:u w:val="single"/>
                  <w:b/>
                  <w:sz w:val="16"/>
                  <w:szCs w:val="16"/>
                  <w:rFonts w:ascii="Calibri" w:hAnsi="Calibri" w:eastAsia="Hiragino Sans GB"/>
                </w:rPr>
                <w:t>红利底仓内部的A股行业再平衡：银行、公用、交运与煤炭的权重切换</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61</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115">
              <w:r>
                <w:rPr>
                  <w:color w:val="1D5FD1"/>
                  <w:u w:val="single"/>
                  <w:b/>
                  <w:sz w:val="16"/>
                  <w:szCs w:val="16"/>
                  <w:rFonts w:ascii="Calibri" w:hAnsi="Calibri" w:eastAsia="Hiragino Sans GB"/>
                </w:rPr>
                <w:t>首席策略师研究报告：全球去杠杆背景下A股两融强平级联与红利防御资产的共振踩踏评估 — 2026-07-0...</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62</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116">
              <w:r>
                <w:rPr>
                  <w:color w:val="1D5FD1"/>
                  <w:u w:val="single"/>
                  <w:b/>
                  <w:sz w:val="16"/>
                  <w:szCs w:val="16"/>
                  <w:rFonts w:ascii="Calibri" w:hAnsi="Calibri" w:eastAsia="Hiragino Sans GB"/>
                </w:rPr>
                <w:t>AI电力稀缺权利与拥挤代理拆分，2026-07-09</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63</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117">
              <w:r>
                <w:rPr>
                  <w:color w:val="1D5FD1"/>
                  <w:u w:val="single"/>
                  <w:b/>
                  <w:sz w:val="16"/>
                  <w:szCs w:val="16"/>
                  <w:rFonts w:ascii="Calibri" w:hAnsi="Calibri" w:eastAsia="Hiragino Sans GB"/>
                </w:rPr>
                <w:t>KOSPI 杠杆清算与半导体周期拐点辩论：AI硬件估值泡沫破裂还是短期超调？</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stock_evidence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64</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118">
              <w:r>
                <w:rPr>
                  <w:color w:val="1D5FD1"/>
                  <w:u w:val="single"/>
                  <w:b/>
                  <w:sz w:val="16"/>
                  <w:szCs w:val="16"/>
                  <w:rFonts w:ascii="Calibri" w:hAnsi="Calibri" w:eastAsia="Hiragino Sans GB"/>
                </w:rPr>
                <w:t>到底是谁在承接？拆解本轮ETF/被动承接的资金构成与黏性</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65</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119">
              <w:r>
                <w:rPr>
                  <w:color w:val="1D5FD1"/>
                  <w:u w:val="single"/>
                  <w:b/>
                  <w:sz w:val="16"/>
                  <w:szCs w:val="16"/>
                  <w:rFonts w:ascii="Calibri" w:hAnsi="Calibri" w:eastAsia="Hiragino Sans GB"/>
                </w:rPr>
                <w:t>2026-07-09 A股策略专题：A股如何区分AI布稀缺性估值与普通建材周期复价估值之辩</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66</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120">
              <w:r>
                <w:rPr>
                  <w:color w:val="1D5FD1"/>
                  <w:u w:val="single"/>
                  <w:b/>
                  <w:sz w:val="16"/>
                  <w:szCs w:val="16"/>
                  <w:rFonts w:ascii="Calibri" w:hAnsi="Calibri" w:eastAsia="Hiragino Sans GB"/>
                </w:rPr>
                <w:t>2026-07-09 - 中韩半导体产能约束与 2027 供需拐点</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67</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121">
              <w:r>
                <w:rPr>
                  <w:color w:val="1D5FD1"/>
                  <w:u w:val="single"/>
                  <w:b/>
                  <w:sz w:val="16"/>
                  <w:szCs w:val="16"/>
                  <w:rFonts w:ascii="Calibri" w:hAnsi="Calibri" w:eastAsia="Hiragino Sans GB"/>
                </w:rPr>
                <w:t>研究记录04：A股“红利-科技”杠铃策略的拥挤度与轮动阈值</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68</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122">
              <w:r>
                <w:rPr>
                  <w:color w:val="1D5FD1"/>
                  <w:u w:val="single"/>
                  <w:b/>
                  <w:sz w:val="16"/>
                  <w:szCs w:val="16"/>
                  <w:rFonts w:ascii="Calibri" w:hAnsi="Calibri" w:eastAsia="Hiragino Sans GB"/>
                </w:rPr>
                <w:t>食品加工配置方案终审：安井中报分阶段吸筹与组合策略综合（工作日期 2026-07-09）</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69</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123">
              <w:r>
                <w:rPr>
                  <w:color w:val="1D5FD1"/>
                  <w:u w:val="single"/>
                  <w:b/>
                  <w:sz w:val="16"/>
                  <w:szCs w:val="16"/>
                  <w:rFonts w:ascii="Calibri" w:hAnsi="Calibri" w:eastAsia="Hiragino Sans GB"/>
                </w:rPr>
                <w:t>AI 基础设施研究：电力与并网约束下算力硬件订单的二阶导拐点</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70</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124">
              <w:r>
                <w:rPr>
                  <w:color w:val="1D5FD1"/>
                  <w:u w:val="single"/>
                  <w:b/>
                  <w:sz w:val="16"/>
                  <w:szCs w:val="16"/>
                  <w:rFonts w:ascii="Calibri" w:hAnsi="Calibri" w:eastAsia="Hiragino Sans GB"/>
                </w:rPr>
                <w:t>中国电力系统与电网设备能否消化AI负载：对东数西算“搁浅产能”的电力+算力套利裁决</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stock_evidence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71</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125">
              <w:r>
                <w:rPr>
                  <w:color w:val="1D5FD1"/>
                  <w:u w:val="single"/>
                  <w:b/>
                  <w:sz w:val="16"/>
                  <w:szCs w:val="16"/>
                  <w:rFonts w:ascii="Calibri" w:hAnsi="Calibri" w:eastAsia="Hiragino Sans GB"/>
                </w:rPr>
                <w:t>斜率不等于久期：AI 基建 Capex 只有在"有电力锚定"处才能对冲久期冲击</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72</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126">
              <w:r>
                <w:rPr>
                  <w:color w:val="1D5FD1"/>
                  <w:u w:val="single"/>
                  <w:b/>
                  <w:sz w:val="16"/>
                  <w:szCs w:val="16"/>
                  <w:rFonts w:ascii="Calibri" w:hAnsi="Calibri" w:eastAsia="Hiragino Sans GB"/>
                </w:rPr>
                <w:t>日元 Carry 平仓 → 大宗金融属性溢价压制 + 资源龙头 Beta 下调建议</w:t>
              </w:r>
            </w:hyperlink>
            <w:r>
              <w:rPr>
                <w:rFonts w:ascii="Calibri" w:hAnsi="Calibri" w:eastAsia="Hiragino Sans GB"/>
                <w:color w:val="5E6268"/>
                <w:sz w:val="14"/>
              </w:rPr>
              <w:br/>
              <w:t>首席策略师 · 每日任务报告</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73</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127">
              <w:r>
                <w:rPr>
                  <w:color w:val="1D5FD1"/>
                  <w:u w:val="single"/>
                  <w:b/>
                  <w:sz w:val="16"/>
                  <w:szCs w:val="16"/>
                  <w:rFonts w:ascii="Calibri" w:hAnsi="Calibri" w:eastAsia="Hiragino Sans GB"/>
                </w:rPr>
                <w:t>裁决 2026 下半年资本争夺：AI 基建 vs 创新药出海 vs 设备质量杠铃</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74</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128">
              <w:r>
                <w:rPr>
                  <w:color w:val="1D5FD1"/>
                  <w:u w:val="single"/>
                  <w:b/>
                  <w:sz w:val="16"/>
                  <w:szCs w:val="16"/>
                  <w:rFonts w:ascii="Calibri" w:hAnsi="Calibri" w:eastAsia="Hiragino Sans GB"/>
                </w:rPr>
                <w:t>陆地电网并网瓶颈的解耦路径与轨道AI算力的终值重估</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75</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129">
              <w:r>
                <w:rPr>
                  <w:color w:val="1D5FD1"/>
                  <w:u w:val="single"/>
                  <w:b/>
                  <w:sz w:val="16"/>
                  <w:szCs w:val="16"/>
                  <w:rFonts w:ascii="Calibri" w:hAnsi="Calibri" w:eastAsia="Hiragino Sans GB"/>
                </w:rPr>
                <w:t>2026-07-09 首席风控官压力测试报告：建材与电子材料板块系统性平仓风险及投资组合 VaR 偏离度评估</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76</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130">
              <w:r>
                <w:rPr>
                  <w:color w:val="1D5FD1"/>
                  <w:u w:val="single"/>
                  <w:b/>
                  <w:sz w:val="16"/>
                  <w:szCs w:val="16"/>
                  <w:rFonts w:ascii="Calibri" w:hAnsi="Calibri" w:eastAsia="Hiragino Sans GB"/>
                </w:rPr>
                <w:t>电力通胀 Higher-for-Longer 下的跨资产配置 — 2026-07-09</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lane_evidence / stock_evidence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77</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131">
              <w:r>
                <w:rPr>
                  <w:color w:val="1D5FD1"/>
                  <w:u w:val="single"/>
                  <w:b/>
                  <w:sz w:val="16"/>
                  <w:szCs w:val="16"/>
                  <w:rFonts w:ascii="Calibri" w:hAnsi="Calibri" w:eastAsia="Hiragino Sans GB"/>
                </w:rPr>
                <w:t>2026-07-09 - 压力测试：电力、并网与液冷是否成为2027年AI加速器消纳约束</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78</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132">
              <w:r>
                <w:rPr>
                  <w:color w:val="1D5FD1"/>
                  <w:u w:val="single"/>
                  <w:b/>
                  <w:sz w:val="16"/>
                  <w:szCs w:val="16"/>
                  <w:rFonts w:ascii="Calibri" w:hAnsi="Calibri" w:eastAsia="Hiragino Sans GB"/>
                </w:rPr>
                <w:t>拆解 10Y 美债 4.60% 突破：政策路径 vs. 期限溢价 vs. 通胀 breakeven</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79</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133">
              <w:r>
                <w:rPr>
                  <w:color w:val="1D5FD1"/>
                  <w:u w:val="single"/>
                  <w:b/>
                  <w:sz w:val="16"/>
                  <w:szCs w:val="16"/>
                  <w:rFonts w:ascii="Calibri" w:hAnsi="Calibri" w:eastAsia="Hiragino Sans GB"/>
                </w:rPr>
                <w:t>2026-07-09 A股执行验证：食品加工篮子是否具备真实吸筹窗口</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80</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2026-07-09</w:t>
            </w:r>
          </w:p>
        </w:tc>
        <w:tc>
          <w:tcPr>
            <w:tcW w:type="dxa" w:w="5940"/>
            <w:tcMar>
              <w:top w:w="80" w:type="dxa"/>
              <w:bottom w:w="80" w:type="dxa"/>
              <w:start w:w="120" w:type="dxa"/>
              <w:end w:w="120" w:type="dxa"/>
            </w:tcMar>
          </w:tcPr>
          <w:p>
            <w:pPr>
              <w:spacing w:after="20"/>
            </w:pPr>
            <w:hyperlink r:id="rId134">
              <w:r>
                <w:rPr>
                  <w:color w:val="1D5FD1"/>
                  <w:u w:val="single"/>
                  <w:b/>
                  <w:sz w:val="16"/>
                  <w:szCs w:val="16"/>
                  <w:rFonts w:ascii="Calibri" w:hAnsi="Calibri" w:eastAsia="Hiragino Sans GB"/>
                </w:rPr>
                <w:t>产业链调研：生命健康和生物科技</w:t>
              </w:r>
            </w:hyperlink>
            <w:r>
              <w:rPr>
                <w:rFonts w:ascii="Calibri" w:hAnsi="Calibri" w:eastAsia="Hiragino Sans GB"/>
                <w:color w:val="5E6268"/>
                <w:sz w:val="14"/>
              </w:rPr>
              <w:br/>
              <w:t>AI Institute · 研究线程</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bl>
    <w:p>
      <w:pPr>
        <w:pStyle w:val="TableCitation"/>
      </w:pPr>
      <w:r>
        <w:t>来源账本来自同一周度发布合约；未引入私有运行记录、密钥或内部提示。</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Hiragino Sans GB"/>
        <w:b/>
        <w:color w:val="5E6268"/>
        <w:sz w:val="17"/>
      </w:rPr>
      <w:t xml:space="preserve">ADMIN RESEARCH PUBLICATION  ·  </w:t>
    </w:r>
    <w:r>
      <w:rPr>
        <w:rFonts w:ascii="Calibri" w:hAnsi="Calibri" w:eastAsia="Hiragino Sans GB"/>
        <w:color w:val="5E6268"/>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Hiragino Sans GB"/>
        <w:b/>
        <w:color w:val="5E6268"/>
        <w:sz w:val="17"/>
      </w:rPr>
      <w:t>AI INSTITUTE  /  WEEKLY RESEARCH  /  2026-W28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264" w:lineRule="auto"/>
    </w:pPr>
    <w:rPr>
      <w:rFonts w:ascii="Calibri" w:hAnsi="Calibri" w:eastAsia="Hiragino Sans GB"/>
      <w:b w:val="0"/>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eastAsia="Hiragino Sans GB"/>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eastAsia="Hiragino Sans GB"/>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eastAsia="Hiragino Sans GB"/>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keepNext w:val="0"/>
      <w:spacing w:before="80" w:after="80" w:line="240" w:lineRule="auto"/>
    </w:pPr>
    <w:rPr>
      <w:rFonts w:ascii="Calibri" w:hAnsi="Calibri" w:eastAsia="Hiragino Sans GB"/>
      <w:b w:val="0"/>
      <w:color w:val="5E6268"/>
      <w:sz w:val="17"/>
    </w:rPr>
  </w:style>
  <w:style w:type="paragraph" w:customStyle="1" w:styleId="SectionLabel">
    <w:name w:val="Section Label"/>
    <w:pPr>
      <w:keepNext/>
      <w:spacing w:before="0" w:after="80" w:line="240" w:lineRule="auto"/>
    </w:pPr>
    <w:rPr>
      <w:rFonts w:ascii="Calibri" w:hAnsi="Calibri" w:eastAsia="Hiragino Sans GB"/>
      <w:b/>
      <w:color w:val="1D5FD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vibe-alpha-three.vercel.app/investor/panorama/2026-W28/" TargetMode="External"/><Relationship Id="rId12" Type="http://schemas.openxmlformats.org/officeDocument/2006/relationships/hyperlink" Target="https://vibe-alpha-three.vercel.app/investor/lanes/oil-gas-and-geopolitical-inflation/" TargetMode="External"/><Relationship Id="rId13" Type="http://schemas.openxmlformats.org/officeDocument/2006/relationships/hyperlink" Target="https://vibe-alpha-three.vercel.app/investor/lanes/a-share-dividend-and-hard-tech-barbell/" TargetMode="External"/><Relationship Id="rId14" Type="http://schemas.openxmlformats.org/officeDocument/2006/relationships/hyperlink" Target="https://vibe-alpha-three.vercel.app/investor/lanes/mag7-ai-platform-re-layering/" TargetMode="External"/><Relationship Id="rId15" Type="http://schemas.openxmlformats.org/officeDocument/2006/relationships/hyperlink" Target="https://vibe-alpha-three.vercel.app/investor/lanes/ai-reflation-and-rate-sensitive-assets/" TargetMode="External"/><Relationship Id="rId16" Type="http://schemas.openxmlformats.org/officeDocument/2006/relationships/hyperlink" Target="https://vibe-alpha-three.vercel.app/investor/lanes/ai-software-productivity/" TargetMode="External"/><Relationship Id="rId17" Type="http://schemas.openxmlformats.org/officeDocument/2006/relationships/hyperlink" Target="https://vibe-alpha-three.vercel.app/investor/lanes/a-share-hard-tech-and-star50/" TargetMode="External"/><Relationship Id="rId18" Type="http://schemas.openxmlformats.org/officeDocument/2006/relationships/hyperlink" Target="https://vibe-alpha-three.vercel.app/investor/reports/archive-798fc1e81dcd/" TargetMode="External"/><Relationship Id="rId19" Type="http://schemas.openxmlformats.org/officeDocument/2006/relationships/hyperlink" Target="https://vibe-alpha-three.vercel.app/investor/reports/archive-e2f7565234e3/" TargetMode="External"/><Relationship Id="rId20" Type="http://schemas.openxmlformats.org/officeDocument/2006/relationships/hyperlink" Target="https://vibe-alpha-three.vercel.app/investor/reports/archive-0d6b2cf8e971/" TargetMode="External"/><Relationship Id="rId21" Type="http://schemas.openxmlformats.org/officeDocument/2006/relationships/hyperlink" Target="https://vibe-alpha-three.vercel.app/investor/theses/thesis-d8170c3a35/" TargetMode="External"/><Relationship Id="rId22" Type="http://schemas.openxmlformats.org/officeDocument/2006/relationships/hyperlink" Target="https://vibe-alpha-three.vercel.app/investor/reports/archive-736bf5ccef22/" TargetMode="External"/><Relationship Id="rId23" Type="http://schemas.openxmlformats.org/officeDocument/2006/relationships/hyperlink" Target="https://vibe-alpha-three.vercel.app/investor/reports/archive-1732ef1682e2/" TargetMode="External"/><Relationship Id="rId24" Type="http://schemas.openxmlformats.org/officeDocument/2006/relationships/hyperlink" Target="https://vibe-alpha-three.vercel.app/investor/reports/archive-9ab125a27085/" TargetMode="External"/><Relationship Id="rId25" Type="http://schemas.openxmlformats.org/officeDocument/2006/relationships/hyperlink" Target="https://vibe-alpha-three.vercel.app/investor/theses/thesis-70daf87262/" TargetMode="External"/><Relationship Id="rId26" Type="http://schemas.openxmlformats.org/officeDocument/2006/relationships/hyperlink" Target="https://vibe-alpha-three.vercel.app/investor/reports/archive-a89d72aca7f6/" TargetMode="External"/><Relationship Id="rId27" Type="http://schemas.openxmlformats.org/officeDocument/2006/relationships/hyperlink" Target="https://vibe-alpha-three.vercel.app/investor/reports/archive-ac86840616ac/" TargetMode="External"/><Relationship Id="rId28" Type="http://schemas.openxmlformats.org/officeDocument/2006/relationships/hyperlink" Target="https://vibe-alpha-three.vercel.app/investor/theses/thesis-8c5a9690a0/" TargetMode="External"/><Relationship Id="rId29" Type="http://schemas.openxmlformats.org/officeDocument/2006/relationships/hyperlink" Target="https://vibe-alpha-three.vercel.app/investor/theses/thesis-075017003b/" TargetMode="External"/><Relationship Id="rId30" Type="http://schemas.openxmlformats.org/officeDocument/2006/relationships/hyperlink" Target="https://vibe-alpha-three.vercel.app/investor/theses/thesis-9d3836cc07/" TargetMode="External"/><Relationship Id="rId31" Type="http://schemas.openxmlformats.org/officeDocument/2006/relationships/hyperlink" Target="https://vibe-alpha-three.vercel.app/investor/reports/archive-bd31eb14bb83/" TargetMode="External"/><Relationship Id="rId32" Type="http://schemas.openxmlformats.org/officeDocument/2006/relationships/hyperlink" Target="https://vibe-alpha-three.vercel.app/investor/theses/thesis-603a5f7966/" TargetMode="External"/><Relationship Id="rId33" Type="http://schemas.openxmlformats.org/officeDocument/2006/relationships/hyperlink" Target="https://vibe-alpha-three.vercel.app/investor/stocks/0883.HK/" TargetMode="External"/><Relationship Id="rId34" Type="http://schemas.openxmlformats.org/officeDocument/2006/relationships/hyperlink" Target="https://vibe-alpha-three.vercel.app/investor/stocks/SLB/" TargetMode="External"/><Relationship Id="rId35" Type="http://schemas.openxmlformats.org/officeDocument/2006/relationships/hyperlink" Target="https://vibe-alpha-three.vercel.app/investor/stocks/XLE/" TargetMode="External"/><Relationship Id="rId36" Type="http://schemas.openxmlformats.org/officeDocument/2006/relationships/hyperlink" Target="https://vibe-alpha-three.vercel.app/investor/stocks/600900.SH/" TargetMode="External"/><Relationship Id="rId37" Type="http://schemas.openxmlformats.org/officeDocument/2006/relationships/hyperlink" Target="https://vibe-alpha-three.vercel.app/investor/stocks/NVDA/" TargetMode="External"/><Relationship Id="rId38" Type="http://schemas.openxmlformats.org/officeDocument/2006/relationships/hyperlink" Target="https://vibe-alpha-three.vercel.app/investor/stocks/MSFT/" TargetMode="External"/><Relationship Id="rId39" Type="http://schemas.openxmlformats.org/officeDocument/2006/relationships/hyperlink" Target="https://vibe-alpha-three.vercel.app/investor/stocks/META/" TargetMode="External"/><Relationship Id="rId40" Type="http://schemas.openxmlformats.org/officeDocument/2006/relationships/hyperlink" Target="https://vibe-alpha-three.vercel.app/investor/stocks/GEV/" TargetMode="External"/><Relationship Id="rId41" Type="http://schemas.openxmlformats.org/officeDocument/2006/relationships/hyperlink" Target="https://vibe-alpha-three.vercel.app/investor/stocks/ETN/" TargetMode="External"/><Relationship Id="rId42" Type="http://schemas.openxmlformats.org/officeDocument/2006/relationships/hyperlink" Target="https://vibe-alpha-three.vercel.app/investor/stocks/CEG/" TargetMode="External"/><Relationship Id="rId43" Type="http://schemas.openxmlformats.org/officeDocument/2006/relationships/hyperlink" Target="https://vibe-alpha-three.vercel.app/investor/stocks/VST/" TargetMode="External"/><Relationship Id="rId44" Type="http://schemas.openxmlformats.org/officeDocument/2006/relationships/hyperlink" Target="https://vibe-alpha-three.vercel.app/investor/stocks/588000.SH/" TargetMode="External"/><Relationship Id="rId45" Type="http://schemas.openxmlformats.org/officeDocument/2006/relationships/hyperlink" Target="https://vibe-alpha-three.vercel.app/investor/stocks/688256.SH/" TargetMode="External"/><Relationship Id="rId46" Type="http://schemas.openxmlformats.org/officeDocument/2006/relationships/hyperlink" Target="https://vibe-alpha-three.vercel.app/investor/stocks/688981.SH/" TargetMode="External"/><Relationship Id="rId47" Type="http://schemas.openxmlformats.org/officeDocument/2006/relationships/hyperlink" Target="https://vibe-alpha-three.vercel.app/investor/stocks/688041.SH/" TargetMode="External"/><Relationship Id="rId48" Type="http://schemas.openxmlformats.org/officeDocument/2006/relationships/hyperlink" Target="https://vibe-alpha-three.vercel.app/investor/stocks/300308.SZ/" TargetMode="External"/><Relationship Id="rId49" Type="http://schemas.openxmlformats.org/officeDocument/2006/relationships/hyperlink" Target="https://vibe-alpha-three.vercel.app/investor/stocks/510880.SH/" TargetMode="External"/><Relationship Id="rId50" Type="http://schemas.openxmlformats.org/officeDocument/2006/relationships/hyperlink" Target="https://vibe-alpha-three.vercel.app/investor/stocks/601088.SH/" TargetMode="External"/><Relationship Id="rId51" Type="http://schemas.openxmlformats.org/officeDocument/2006/relationships/hyperlink" Target="https://vibe-alpha-three.vercel.app/investor/stocks/601398.SH/" TargetMode="External"/><Relationship Id="rId52" Type="http://schemas.openxmlformats.org/officeDocument/2006/relationships/hyperlink" Target="https://vibe-alpha-three.vercel.app/investor/stocks/DUK/" TargetMode="External"/><Relationship Id="rId53" Type="http://schemas.openxmlformats.org/officeDocument/2006/relationships/hyperlink" Target="https://vibe-alpha-three.vercel.app/investor/stocks/TLT/" TargetMode="External"/><Relationship Id="rId54" Type="http://schemas.openxmlformats.org/officeDocument/2006/relationships/hyperlink" Target="https://vibe-alpha-three.vercel.app/investor/stocks/IEF/" TargetMode="External"/><Relationship Id="rId55" Type="http://schemas.openxmlformats.org/officeDocument/2006/relationships/hyperlink" Target="https://vibe-alpha-three.vercel.app/investor/stocks/GLD/" TargetMode="External"/><Relationship Id="rId56" Type="http://schemas.openxmlformats.org/officeDocument/2006/relationships/hyperlink" Target="https://vibe-alpha-three.vercel.app/investor/lanes/ai-power-and-grid-equipment/" TargetMode="External"/><Relationship Id="rId57" Type="http://schemas.openxmlformats.org/officeDocument/2006/relationships/hyperlink" Target="https://vibe-alpha-three.vercel.app/investor/lanes/a-share-semiconductor-margin-and-negative-gamma/" TargetMode="External"/><Relationship Id="rId58" Type="http://schemas.openxmlformats.org/officeDocument/2006/relationships/hyperlink" Target="https://vibe-alpha-three.vercel.app/investor/lanes/a-share-risk-appetite-and-margin/" TargetMode="External"/><Relationship Id="rId59" Type="http://schemas.openxmlformats.org/officeDocument/2006/relationships/hyperlink" Target="https://vibe-alpha-three.vercel.app/investor/lanes/advanced-packaging-and-hbm4-gate/" TargetMode="External"/><Relationship Id="rId60" Type="http://schemas.openxmlformats.org/officeDocument/2006/relationships/hyperlink" Target="https://vibe-alpha-three.vercel.app/investor/lanes/utilities-grid-rate-base-and-credit/" TargetMode="External"/><Relationship Id="rId61" Type="http://schemas.openxmlformats.org/officeDocument/2006/relationships/hyperlink" Target="https://vibe-alpha-three.vercel.app/investor/lanes/us-rates-and-dollar-repricing/" TargetMode="External"/><Relationship Id="rId62" Type="http://schemas.openxmlformats.org/officeDocument/2006/relationships/hyperlink" Target="https://vibe-alpha-three.vercel.app/investor/lanes/rmb-dollar-and-liquidity-sensitive-assets/" TargetMode="External"/><Relationship Id="rId63" Type="http://schemas.openxmlformats.org/officeDocument/2006/relationships/hyperlink" Target="https://vibe-alpha-three.vercel.app/investor/lanes/ai-compute-semiconductors/" TargetMode="External"/><Relationship Id="rId64" Type="http://schemas.openxmlformats.org/officeDocument/2006/relationships/hyperlink" Target="https://vibe-alpha-three.vercel.app/investor/reports/archive-96ff42e4fd2c/" TargetMode="External"/><Relationship Id="rId65" Type="http://schemas.openxmlformats.org/officeDocument/2006/relationships/hyperlink" Target="https://vibe-alpha-three.vercel.app/investor/reports/archive-26b1c08d12f3/" TargetMode="External"/><Relationship Id="rId66" Type="http://schemas.openxmlformats.org/officeDocument/2006/relationships/hyperlink" Target="https://vibe-alpha-three.vercel.app/investor/reports/archive-f8174369994c/" TargetMode="External"/><Relationship Id="rId67" Type="http://schemas.openxmlformats.org/officeDocument/2006/relationships/hyperlink" Target="https://vibe-alpha-three.vercel.app/investor/reports/archive-c7f866e26396/" TargetMode="External"/><Relationship Id="rId68" Type="http://schemas.openxmlformats.org/officeDocument/2006/relationships/hyperlink" Target="https://vibe-alpha-three.vercel.app/investor/reports/archive-cd5186015ee2/" TargetMode="External"/><Relationship Id="rId69" Type="http://schemas.openxmlformats.org/officeDocument/2006/relationships/hyperlink" Target="https://vibe-alpha-three.vercel.app/investor/reports/archive-7b5759790b56/" TargetMode="External"/><Relationship Id="rId70" Type="http://schemas.openxmlformats.org/officeDocument/2006/relationships/hyperlink" Target="https://vibe-alpha-three.vercel.app/investor/reports/archive-7faeb0dbea74/" TargetMode="External"/><Relationship Id="rId71" Type="http://schemas.openxmlformats.org/officeDocument/2006/relationships/hyperlink" Target="https://vibe-alpha-three.vercel.app/investor/reports/archive-d556ba592bba/" TargetMode="External"/><Relationship Id="rId72" Type="http://schemas.openxmlformats.org/officeDocument/2006/relationships/hyperlink" Target="https://vibe-alpha-three.vercel.app/investor/reports/archive-3e1443d6462f/" TargetMode="External"/><Relationship Id="rId73" Type="http://schemas.openxmlformats.org/officeDocument/2006/relationships/hyperlink" Target="https://vibe-alpha-three.vercel.app/investor/reports/archive-efc5de9e4f20/" TargetMode="External"/><Relationship Id="rId74" Type="http://schemas.openxmlformats.org/officeDocument/2006/relationships/hyperlink" Target="https://vibe-alpha-three.vercel.app/investor/reports/reader-daily-reader-2026-07-10/" TargetMode="External"/><Relationship Id="rId75" Type="http://schemas.openxmlformats.org/officeDocument/2006/relationships/hyperlink" Target="https://vibe-alpha-three.vercel.app/investor/reports/archive-7f82c4883386/" TargetMode="External"/><Relationship Id="rId76" Type="http://schemas.openxmlformats.org/officeDocument/2006/relationships/hyperlink" Target="https://vibe-alpha-three.vercel.app/investor/reports/archive-0fba3e7d4157/" TargetMode="External"/><Relationship Id="rId77" Type="http://schemas.openxmlformats.org/officeDocument/2006/relationships/hyperlink" Target="https://vibe-alpha-three.vercel.app/investor/reports/archive-45d7eada433c/" TargetMode="External"/><Relationship Id="rId78" Type="http://schemas.openxmlformats.org/officeDocument/2006/relationships/hyperlink" Target="https://vibe-alpha-three.vercel.app/investor/reports/archive-8e673aa47b81/" TargetMode="External"/><Relationship Id="rId79" Type="http://schemas.openxmlformats.org/officeDocument/2006/relationships/hyperlink" Target="https://vibe-alpha-three.vercel.app/investor/reports/archive-de9b033516c0/" TargetMode="External"/><Relationship Id="rId80" Type="http://schemas.openxmlformats.org/officeDocument/2006/relationships/hyperlink" Target="https://vibe-alpha-three.vercel.app/investor/reports/archive-caf367348d8a/" TargetMode="External"/><Relationship Id="rId81" Type="http://schemas.openxmlformats.org/officeDocument/2006/relationships/hyperlink" Target="https://vibe-alpha-three.vercel.app/investor/reports/archive-72f14f51eff6/" TargetMode="External"/><Relationship Id="rId82" Type="http://schemas.openxmlformats.org/officeDocument/2006/relationships/hyperlink" Target="https://vibe-alpha-three.vercel.app/investor/reports/archive-1b0527ca7d06/" TargetMode="External"/><Relationship Id="rId83" Type="http://schemas.openxmlformats.org/officeDocument/2006/relationships/hyperlink" Target="https://vibe-alpha-three.vercel.app/investor/reports/archive-9a0781a7c281/" TargetMode="External"/><Relationship Id="rId84" Type="http://schemas.openxmlformats.org/officeDocument/2006/relationships/hyperlink" Target="https://vibe-alpha-three.vercel.app/investor/reports/archive-4d165c32ed9b/" TargetMode="External"/><Relationship Id="rId85" Type="http://schemas.openxmlformats.org/officeDocument/2006/relationships/hyperlink" Target="https://vibe-alpha-three.vercel.app/investor/reports/archive-a357855f5231/" TargetMode="External"/><Relationship Id="rId86" Type="http://schemas.openxmlformats.org/officeDocument/2006/relationships/hyperlink" Target="https://vibe-alpha-three.vercel.app/investor/reports/archive-fb093b6c650b/" TargetMode="External"/><Relationship Id="rId87" Type="http://schemas.openxmlformats.org/officeDocument/2006/relationships/hyperlink" Target="https://vibe-alpha-three.vercel.app/investor/reports/archive-887d4a2f0532/" TargetMode="External"/><Relationship Id="rId88" Type="http://schemas.openxmlformats.org/officeDocument/2006/relationships/hyperlink" Target="https://vibe-alpha-three.vercel.app/investor/reports/archive-31a7794cfb76/" TargetMode="External"/><Relationship Id="rId89" Type="http://schemas.openxmlformats.org/officeDocument/2006/relationships/hyperlink" Target="https://vibe-alpha-three.vercel.app/investor/reports/archive-92d21b8b59b0/" TargetMode="External"/><Relationship Id="rId90" Type="http://schemas.openxmlformats.org/officeDocument/2006/relationships/hyperlink" Target="https://vibe-alpha-three.vercel.app/investor/reports/archive-bd7f96982722/" TargetMode="External"/><Relationship Id="rId91" Type="http://schemas.openxmlformats.org/officeDocument/2006/relationships/hyperlink" Target="https://vibe-alpha-three.vercel.app/investor/reports/archive-24b64a5f237f/" TargetMode="External"/><Relationship Id="rId92" Type="http://schemas.openxmlformats.org/officeDocument/2006/relationships/hyperlink" Target="https://vibe-alpha-three.vercel.app/investor/reports/archive-4f825b9acbcb/" TargetMode="External"/><Relationship Id="rId93" Type="http://schemas.openxmlformats.org/officeDocument/2006/relationships/hyperlink" Target="https://vibe-alpha-three.vercel.app/investor/reports/archive-4053c89be36e/" TargetMode="External"/><Relationship Id="rId94" Type="http://schemas.openxmlformats.org/officeDocument/2006/relationships/hyperlink" Target="https://vibe-alpha-three.vercel.app/investor/reports/archive-30d899237e70/" TargetMode="External"/><Relationship Id="rId95" Type="http://schemas.openxmlformats.org/officeDocument/2006/relationships/hyperlink" Target="https://vibe-alpha-three.vercel.app/investor/reports/archive-632a919a1726/" TargetMode="External"/><Relationship Id="rId96" Type="http://schemas.openxmlformats.org/officeDocument/2006/relationships/hyperlink" Target="https://vibe-alpha-three.vercel.app/investor/reports/archive-010c6b547eaf/" TargetMode="External"/><Relationship Id="rId97" Type="http://schemas.openxmlformats.org/officeDocument/2006/relationships/hyperlink" Target="https://vibe-alpha-three.vercel.app/investor/reports/archive-b49a6e652058/" TargetMode="External"/><Relationship Id="rId98" Type="http://schemas.openxmlformats.org/officeDocument/2006/relationships/hyperlink" Target="https://vibe-alpha-three.vercel.app/investor/reports/archive-99bcc6f3c0f1/" TargetMode="External"/><Relationship Id="rId99" Type="http://schemas.openxmlformats.org/officeDocument/2006/relationships/hyperlink" Target="https://vibe-alpha-three.vercel.app/investor/reports/archive-026ae0119d71/" TargetMode="External"/><Relationship Id="rId100" Type="http://schemas.openxmlformats.org/officeDocument/2006/relationships/hyperlink" Target="https://vibe-alpha-three.vercel.app/investor/reports/archive-27b8acaed5b3/" TargetMode="External"/><Relationship Id="rId101" Type="http://schemas.openxmlformats.org/officeDocument/2006/relationships/hyperlink" Target="https://vibe-alpha-three.vercel.app/investor/reports/archive-fb29722d01e3/" TargetMode="External"/><Relationship Id="rId102" Type="http://schemas.openxmlformats.org/officeDocument/2006/relationships/hyperlink" Target="https://vibe-alpha-three.vercel.app/investor/reports/archive-2fe8704c5960/" TargetMode="External"/><Relationship Id="rId103" Type="http://schemas.openxmlformats.org/officeDocument/2006/relationships/hyperlink" Target="https://vibe-alpha-three.vercel.app/investor/reports/archive-fcd9c4f11450/" TargetMode="External"/><Relationship Id="rId104" Type="http://schemas.openxmlformats.org/officeDocument/2006/relationships/hyperlink" Target="https://vibe-alpha-three.vercel.app/investor/reports/archive-7bc753061e44/" TargetMode="External"/><Relationship Id="rId105" Type="http://schemas.openxmlformats.org/officeDocument/2006/relationships/hyperlink" Target="https://vibe-alpha-three.vercel.app/investor/reports/archive-1c92b6b0a841/" TargetMode="External"/><Relationship Id="rId106" Type="http://schemas.openxmlformats.org/officeDocument/2006/relationships/hyperlink" Target="https://vibe-alpha-three.vercel.app/investor/reports/archive-761a07f77bac/" TargetMode="External"/><Relationship Id="rId107" Type="http://schemas.openxmlformats.org/officeDocument/2006/relationships/hyperlink" Target="https://vibe-alpha-three.vercel.app/investor/reports/archive-1bf4c7d01bd5/" TargetMode="External"/><Relationship Id="rId108" Type="http://schemas.openxmlformats.org/officeDocument/2006/relationships/hyperlink" Target="https://vibe-alpha-three.vercel.app/investor/reports/archive-2ffd89060af9/" TargetMode="External"/><Relationship Id="rId109" Type="http://schemas.openxmlformats.org/officeDocument/2006/relationships/hyperlink" Target="https://vibe-alpha-three.vercel.app/investor/reports/archive-01be4353c7cf/" TargetMode="External"/><Relationship Id="rId110" Type="http://schemas.openxmlformats.org/officeDocument/2006/relationships/hyperlink" Target="https://vibe-alpha-three.vercel.app/investor/reports/archive-ffa1c909866e/" TargetMode="External"/><Relationship Id="rId111" Type="http://schemas.openxmlformats.org/officeDocument/2006/relationships/hyperlink" Target="https://vibe-alpha-three.vercel.app/investor/reports/archive-11283e492340/" TargetMode="External"/><Relationship Id="rId112" Type="http://schemas.openxmlformats.org/officeDocument/2006/relationships/hyperlink" Target="https://vibe-alpha-three.vercel.app/investor/reports/archive-ce5c58378160/" TargetMode="External"/><Relationship Id="rId113" Type="http://schemas.openxmlformats.org/officeDocument/2006/relationships/hyperlink" Target="https://vibe-alpha-three.vercel.app/investor/reports/archive-32edd8ac44bb/" TargetMode="External"/><Relationship Id="rId114" Type="http://schemas.openxmlformats.org/officeDocument/2006/relationships/hyperlink" Target="https://vibe-alpha-three.vercel.app/investor/reports/archive-c061a81a4dc4/" TargetMode="External"/><Relationship Id="rId115" Type="http://schemas.openxmlformats.org/officeDocument/2006/relationships/hyperlink" Target="https://vibe-alpha-three.vercel.app/investor/reports/archive-e8658a19dece/" TargetMode="External"/><Relationship Id="rId116" Type="http://schemas.openxmlformats.org/officeDocument/2006/relationships/hyperlink" Target="https://vibe-alpha-three.vercel.app/investor/reports/archive-82758d83a7c8/" TargetMode="External"/><Relationship Id="rId117" Type="http://schemas.openxmlformats.org/officeDocument/2006/relationships/hyperlink" Target="https://vibe-alpha-three.vercel.app/investor/reports/archive-14c642b14bae/" TargetMode="External"/><Relationship Id="rId118" Type="http://schemas.openxmlformats.org/officeDocument/2006/relationships/hyperlink" Target="https://vibe-alpha-three.vercel.app/investor/reports/archive-bcb50507c137/" TargetMode="External"/><Relationship Id="rId119" Type="http://schemas.openxmlformats.org/officeDocument/2006/relationships/hyperlink" Target="https://vibe-alpha-three.vercel.app/investor/reports/archive-bfd7b8eba5d2/" TargetMode="External"/><Relationship Id="rId120" Type="http://schemas.openxmlformats.org/officeDocument/2006/relationships/hyperlink" Target="https://vibe-alpha-three.vercel.app/investor/reports/archive-0a0a7aab7019/" TargetMode="External"/><Relationship Id="rId121" Type="http://schemas.openxmlformats.org/officeDocument/2006/relationships/hyperlink" Target="https://vibe-alpha-three.vercel.app/investor/reports/archive-345e7cbc97c3/" TargetMode="External"/><Relationship Id="rId122" Type="http://schemas.openxmlformats.org/officeDocument/2006/relationships/hyperlink" Target="https://vibe-alpha-three.vercel.app/investor/reports/archive-28d1050f45f0/" TargetMode="External"/><Relationship Id="rId123" Type="http://schemas.openxmlformats.org/officeDocument/2006/relationships/hyperlink" Target="https://vibe-alpha-three.vercel.app/investor/reports/archive-4505829e4ce8/" TargetMode="External"/><Relationship Id="rId124" Type="http://schemas.openxmlformats.org/officeDocument/2006/relationships/hyperlink" Target="https://vibe-alpha-three.vercel.app/investor/reports/archive-2b63545517d0/" TargetMode="External"/><Relationship Id="rId125" Type="http://schemas.openxmlformats.org/officeDocument/2006/relationships/hyperlink" Target="https://vibe-alpha-three.vercel.app/investor/reports/archive-8f46b759f586/" TargetMode="External"/><Relationship Id="rId126" Type="http://schemas.openxmlformats.org/officeDocument/2006/relationships/hyperlink" Target="https://vibe-alpha-three.vercel.app/investor/reports/archive-01d0648b3b19/" TargetMode="External"/><Relationship Id="rId127" Type="http://schemas.openxmlformats.org/officeDocument/2006/relationships/hyperlink" Target="https://vibe-alpha-three.vercel.app/investor/reports/archive-1b028a4d034a/" TargetMode="External"/><Relationship Id="rId128" Type="http://schemas.openxmlformats.org/officeDocument/2006/relationships/hyperlink" Target="https://vibe-alpha-three.vercel.app/investor/reports/archive-4740d7c7d4bb/" TargetMode="External"/><Relationship Id="rId129" Type="http://schemas.openxmlformats.org/officeDocument/2006/relationships/hyperlink" Target="https://vibe-alpha-three.vercel.app/investor/reports/archive-70f3ef5096ff/" TargetMode="External"/><Relationship Id="rId130" Type="http://schemas.openxmlformats.org/officeDocument/2006/relationships/hyperlink" Target="https://vibe-alpha-three.vercel.app/investor/reports/archive-7390005bd2e4/" TargetMode="External"/><Relationship Id="rId131" Type="http://schemas.openxmlformats.org/officeDocument/2006/relationships/hyperlink" Target="https://vibe-alpha-three.vercel.app/investor/reports/archive-2147b1d80acc/" TargetMode="External"/><Relationship Id="rId132" Type="http://schemas.openxmlformats.org/officeDocument/2006/relationships/hyperlink" Target="https://vibe-alpha-three.vercel.app/investor/reports/archive-190e63c07bc3/" TargetMode="External"/><Relationship Id="rId133" Type="http://schemas.openxmlformats.org/officeDocument/2006/relationships/hyperlink" Target="https://vibe-alpha-three.vercel.app/investor/reports/archive-e7c550f80ee9/" TargetMode="External"/><Relationship Id="rId134" Type="http://schemas.openxmlformats.org/officeDocument/2006/relationships/hyperlink" Target="https://vibe-alpha-three.vercel.app/investor/reports/archive-93a2e5b4f5c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2026年第28周：守住杠铃，收缩地缘暴露，等待订单与资本开支确认</dc:title>
  <dc:subject>AI Institute weekly research report 2026-W28</dc:subject>
  <dc:creator>AI Institute</dc:creator>
  <cp:keywords>AI Institute, weekly research, investment research</cp:keywords>
  <dc:description>generated by python-docx</dc:description>
  <cp:lastModifiedBy/>
  <cp:revision>1</cp:revision>
  <dcterms:created xsi:type="dcterms:W3CDTF">2013-12-23T23:15:00Z</dcterms:created>
  <dcterms:modified xsi:type="dcterms:W3CDTF">2013-12-23T23:15:00Z</dcterms:modified>
  <cp:category/>
</cp:coreProperties>
</file>