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iragino Sans GB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iragino Sans GB"/>
          <w:b w:val="0"/>
          <w:i w:val="0"/>
        </w:rPr>
        <w:t>2026-08-13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iragino Sans GB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2"/>
        </w:rPr>
        <w:t>2026-08-13 共纳入 45 篇中文研究结果，覆盖 0 位活跃分析师和 5 条主要行业链，较 2026-08-12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iragino Sans GB"/>
                <w:b/>
                <w:color w:val="285B9D"/>
                <w:sz w:val="36"/>
              </w:rPr>
              <w:t>45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iragino Sans GB"/>
                <w:b/>
                <w:color w:val="237A5B"/>
                <w:sz w:val="36"/>
              </w:rPr>
              <w:t>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iragino Sans GB"/>
                <w:b/>
                <w:color w:val="A8731B"/>
                <w:sz w:val="36"/>
              </w:rPr>
              <w:t>5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iragino Sans GB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iragino Sans GB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3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prior research notes/10 — 美国各州PUC对AI数据中心电网资本开支费率基础化的监管反弹压力测试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变化信号: </w:t>
      </w:r>
      <w:r>
        <w:rPr>
          <w:rFonts w:ascii="Calibri" w:hAnsi="Calibri" w:eastAsia="Hiragino Sans GB"/>
          <w:color w:val="111827"/>
          <w:sz w:val="21"/>
        </w:rPr>
        <w:t>AI 今日 降温，当日计数 42，前一日计数 288。</w:t>
      </w:r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风险矩阵最需要跟踪的是 AI 基础设施：research discussion Session Brief。</w:t>
        </w:r>
      </w:hyperlink>
    </w:p>
    <w:p>
      <w:pPr>
        <w:spacing w:after="140"/>
        <w:ind w:left="259" w:hanging="259"/>
      </w:pPr>
      <w:r>
        <w:rPr>
          <w:rFonts w:ascii="Calibri" w:hAnsi="Calibri" w:eastAsia="Hiragino Sans GB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iragino Sans GB" w:ascii="Calibri" w:hAnsi="Calibri"/>
          </w:rPr>
          <w:t>宏观通胀传导 今日 43 条、近七日 1724 条，风险信号 1161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iragino Sans GB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iragino Sans GB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3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3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3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8-13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iragino Sans GB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1. prior research notes/10 — 美国各州PUC对AI数据中心电网资本开支费率基础化的监管反弹压力测试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49.4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prior research notes/10 — 美国各州PUC对AI数据中心电网资本开支费率基础化的监管反弹压力测试 工作日：2026-08-13（新加坡时区） 分析师：主题研究员（thematic-researcher） 立场：压力测试...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iragino Sans GB" w:ascii="Calibri" w:hAnsi="Calibri"/>
          </w:rPr>
          <w:t>reports/archive-b1119ae31742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2. prior research notes— 电网设备与公用事业供应链在AI电力瓶颈下的投资含义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电力与电网 · score 48.9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prior research notes— 电网设备与公用事业供应链在AI电力瓶颈下的投资含义 分析师： 公用事业分析师 日期： 2026-08-13 立场： stress-test（压力测试） 片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iragino Sans GB" w:ascii="Calibri" w:hAnsi="Calibri"/>
          </w:rPr>
          <w:t>reports/archive-3986740bcb3f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3. AI算力需求 vs. 电力/电网供给能力 — prior research notes/10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48.6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AI算力需求 vs. 电力/电网供给能力 — prior research notes/10 工作日期：2026-08-13（新加坡时区） 分析师：AI基础设施分析师 立场：压力测试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iragino Sans GB" w:ascii="Calibri" w:hAnsi="Calibri"/>
          </w:rPr>
          <w:t>reports/archive-27626196e00d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4. 2026-08-13 宏观开局：7月CPI是否迫使美联储重回加息？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宏观通胀传导 · score 46.5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工作日期：2026-08-13，已由 date +%Y-%m-%d = 2026-08-13 确认 [自测算: shell command date +%Y-%m-%d returned 2026-08-13 ]。分析师： chief-economist。研究问题：在7月CPI于2026年8月12日...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iragino Sans GB" w:ascii="Calibri" w:hAnsi="Calibri"/>
          </w:rPr>
          <w:t>reports/archive-eb85fe42de97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5. 德克萨斯SB6削减风险与AI数据中心设备订单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AI 基础设施 · score 44.9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德克萨斯SB6削减风险与AI数据中心设备订单 工作日：2026-08-13（Asia/Singapore） 分析师：AI基础设施分析师（ai-infrastructure-analyst） 立场：stress-test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iragino Sans GB" w:ascii="Calibri" w:hAnsi="Calibri"/>
          </w:rPr>
          <w:t>reports/archive-4d8fb44ae4bc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3"/>
        </w:rPr>
        <w:t>6. 先进封装承接篮子的订单质量、产能利用率和两融安全边际</w:t>
      </w:r>
    </w:p>
    <w:p>
      <w:pPr>
        <w:spacing w:before="0" w:after="4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>未识别 · 半导体与存储 · score 43.4</w:t>
      </w:r>
    </w:p>
    <w:p>
      <w:pPr>
        <w:spacing w:before="0" w:after="10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先进封装承接篮子的订单质量、产能利用率和两融安全边际 半导体分析师 工作日期：2026-08-13 研究记录 立场：synthesize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iragino Sans GB" w:ascii="Calibri" w:hAnsi="Calibri"/>
          </w:rPr>
          <w:t>reports/archive-5e614eb633d9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research discussion Session Brief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iragino Sans GB" w:ascii="Calibri" w:hAnsi="Calibri"/>
          </w:rPr>
          <w:t>reports/archive-d7796555327c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AI基础设施电力瓶颈与电网设备订单能见度 — 2026-08-11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2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iragino Sans GB" w:ascii="Calibri" w:hAnsi="Calibri"/>
          </w:rPr>
          <w:t>reports/archive-3f4977918957</w:t>
        </w:r>
      </w:hyperlink>
    </w:p>
    <w:p>
      <w:pPr>
        <w:spacing w:before="0" w:after="40" w:line="264" w:lineRule="auto"/>
      </w:pPr>
      <w:r>
        <w:rPr>
          <w:rFonts w:ascii="Calibri" w:hAnsi="Calibri" w:eastAsia="Hiragino Sans GB"/>
          <w:b/>
          <w:i w:val="0"/>
          <w:color w:val="0B2545"/>
          <w:sz w:val="22"/>
        </w:rPr>
        <w:t>边缘AI芯片供应链与工业自动化竞争格局 - 2026-08-07</w:t>
      </w:r>
    </w:p>
    <w:p>
      <w:pPr>
        <w:spacing w:before="0" w:after="60" w:line="264" w:lineRule="auto"/>
      </w:pPr>
      <w:r>
        <w:rPr>
          <w:rFonts w:ascii="Calibri" w:hAnsi="Calibri" w:eastAsia="Hiragino Sans GB"/>
          <w:b w:val="0"/>
          <w:i w:val="0"/>
          <w:color w:val="334155"/>
          <w:sz w:val="20"/>
        </w:rPr>
        <w:t>AI 基础设施，影响 5 / 概率 4</w:t>
      </w:r>
    </w:p>
    <w:p>
      <w:pPr>
        <w:spacing w:before="0" w:after="160" w:line="264" w:lineRule="auto"/>
      </w:pPr>
      <w:r>
        <w:rPr>
          <w:rFonts w:ascii="Calibri" w:hAnsi="Calibri" w:eastAsia="Hiragino Sans GB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iragino Sans GB" w:ascii="Calibri" w:hAnsi="Calibri"/>
          </w:rPr>
          <w:t>reports/archive-8ccc817d3859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prior research notes/10 — 美国各州PUC对AI数据中心电网资本开支费率基础化的监管反弹压力测试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49.4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prior research notes— 电网设备与公用事业供应链在AI电力瓶颈下的投资含义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48.9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AI算力需求 vs. 电力/电网供给能力 — prior research notes/10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48.6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2026-08-13 宏观开局：7月CPI是否迫使美联储重回加息？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46.5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德克萨斯SB6削减风险与AI数据中心设备订单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先进封装承接篮子的订单质量、产能利用率和两融安全边际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半导体与存储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43.4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research discussion Session Brief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最终发布前审校报告 — 10卡研究线索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央行外汇宏观审慎工具箱与跨境资本流动风险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全球宏观 美联储外溢、中国央行政策空间与人民币走势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中国增长与地产数据对央行6.80–6.88容忍阈值的压力测试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先进封装轮动后AI硬件总风险预算是否应上调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研究院日检诊断报告 — 2026-08-13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人民币压力信号与央行外汇工具重启阈值 — 2026-08-13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全球宏观 美联储9月决议的刀锋抉择：油价冲击型通胀 vs. 2016年以来最鹰派的反对票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prior research notes—— 美元强势与美债实际利率对A股风格与增量资金的传导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40.2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陕西能源解禁数据质量压力测试 — 2026-08-13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39.9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7"/>
              </w:rPr>
              <w:t>地产投资年内累计-18.0%降幅的结构性拆解与三季度土地市场信号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/>
                <w:color w:val="111827"/>
                <w:sz w:val="17"/>
              </w:rPr>
              <w:t>39.2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iragino Sans GB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iragino Sans GB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iragino Sans GB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iragino Sans GB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iragino Sans GB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iragino Sans GB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iragino Sans GB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b1119ae31742" TargetMode="External"/><Relationship Id="rId13" Type="http://schemas.openxmlformats.org/officeDocument/2006/relationships/hyperlink" Target="reports/archive-d7796555327c" TargetMode="External"/><Relationship Id="rId14" Type="http://schemas.openxmlformats.org/officeDocument/2006/relationships/hyperlink" Target="reports/archive-de36a299c03d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3986740bcb3f" TargetMode="External"/><Relationship Id="rId20" Type="http://schemas.openxmlformats.org/officeDocument/2006/relationships/hyperlink" Target="reports/archive-27626196e00d" TargetMode="External"/><Relationship Id="rId21" Type="http://schemas.openxmlformats.org/officeDocument/2006/relationships/hyperlink" Target="reports/archive-eb85fe42de97" TargetMode="External"/><Relationship Id="rId22" Type="http://schemas.openxmlformats.org/officeDocument/2006/relationships/hyperlink" Target="reports/archive-4d8fb44ae4bc" TargetMode="External"/><Relationship Id="rId23" Type="http://schemas.openxmlformats.org/officeDocument/2006/relationships/hyperlink" Target="reports/archive-5e614eb633d9" TargetMode="External"/><Relationship Id="rId24" Type="http://schemas.openxmlformats.org/officeDocument/2006/relationships/hyperlink" Target="reports/archive-3f4977918957" TargetMode="External"/><Relationship Id="rId25" Type="http://schemas.openxmlformats.org/officeDocument/2006/relationships/hyperlink" Target="reports/archive-8ccc817d38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2026-08-13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