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Calibri" w:hAnsi="Calibri" w:eastAsia="Heiti TC"/>
          <w:b/>
          <w:i w:val="0"/>
          <w:color w:val="285B9D"/>
          <w:sz w:val="20"/>
        </w:rPr>
        <w:t>AI Institute</w:t>
      </w:r>
    </w:p>
    <w:p>
      <w:pPr>
        <w:pStyle w:val="Title"/>
        <w:spacing w:before="0" w:after="80" w:line="264" w:lineRule="auto"/>
      </w:pPr>
      <w:r>
        <w:rPr>
          <w:rFonts w:ascii="Calibri" w:hAnsi="Calibri" w:eastAsia="Heiti TC"/>
          <w:b w:val="0"/>
          <w:i w:val="0"/>
        </w:rPr>
        <w:t>每日投资研究简报</w:t>
      </w:r>
    </w:p>
    <w:p>
      <w:pPr>
        <w:pStyle w:val="Subtitle"/>
        <w:spacing w:before="0" w:after="240" w:line="264" w:lineRule="auto"/>
      </w:pPr>
      <w:r>
        <w:rPr>
          <w:rFonts w:ascii="Calibri" w:hAnsi="Calibri" w:eastAsia="Heiti TC"/>
          <w:b w:val="0"/>
          <w:i w:val="0"/>
        </w:rPr>
        <w:t>2026-06-19 · webpage screenshot DOCX edition</w:t>
      </w:r>
    </w:p>
    <w:p>
      <w:pPr>
        <w:spacing w:before="0" w:after="160" w:line="264" w:lineRule="auto"/>
      </w:pPr>
      <w:r>
        <w:rPr>
          <w:rFonts w:ascii="Calibri" w:hAnsi="Calibri" w:eastAsia="Heiti TC"/>
          <w:b/>
          <w:i w:val="0"/>
          <w:color w:val="0B2545"/>
          <w:sz w:val="34"/>
        </w:rPr>
        <w:t>宏观通胀传导仍是今日主线，AI 基础设施提供第二层验证。</w:t>
      </w:r>
    </w:p>
    <w:p>
      <w:pPr>
        <w:spacing w:before="0" w:after="240" w:line="264" w:lineRule="auto"/>
      </w:pPr>
      <w:r>
        <w:rPr>
          <w:rFonts w:ascii="Calibri" w:hAnsi="Calibri" w:eastAsia="Heiti TC"/>
          <w:b w:val="0"/>
          <w:i w:val="0"/>
          <w:color w:val="334155"/>
          <w:sz w:val="22"/>
        </w:rPr>
        <w:t>2026-06-19 共纳入 124 篇中文研究结果，覆盖 20 位活跃分析师和 6 条主要行业链，较 2026-06-18 的主题变化可在右侧动量表中核对。简报优先呈现可被报告链接追溯的结论，而不是孤立摘要。</w:t>
      </w:r>
    </w:p>
    <w:tbl>
      <w:tblPr>
        <w:tblW w:type="dxa" w:w="9360"/>
        <w:jc w:val="left"/>
        <w:tblLayout w:type="fixed"/>
        <w:tblLook w:firstColumn="1" w:firstRow="1" w:lastColumn="0" w:lastRow="0" w:noHBand="0" w:noVBand="1" w:val="04A0"/>
      </w:tblPr>
      <w:tblGrid>
        <w:gridCol w:w="2340"/>
        <w:gridCol w:w="2340"/>
        <w:gridCol w:w="2340"/>
        <w:gridCol w:w="2340"/>
      </w:tblGrid>
      <w:tr>
        <w:tc>
          <w:tcPr>
            <w:tcW w:type="dxa" w:w="2340"/>
            <w:vAlign w:val="center"/>
            <w:shd w:fill="F8FAFC"/>
          </w:tcPr>
          <w:p>
            <w:pPr>
              <w:spacing w:after="40"/>
            </w:pPr>
            <w:r>
              <w:rPr>
                <w:rFonts w:ascii="Calibri" w:hAnsi="Calibri" w:eastAsia="Heiti TC"/>
                <w:b/>
                <w:color w:val="667085"/>
                <w:sz w:val="17"/>
              </w:rPr>
              <w:t>今日报告</w:t>
              <w:br/>
            </w:r>
            <w:r>
              <w:rPr>
                <w:rFonts w:ascii="Calibri" w:hAnsi="Calibri" w:eastAsia="Heiti TC"/>
                <w:b/>
                <w:color w:val="285B9D"/>
                <w:sz w:val="36"/>
              </w:rPr>
              <w:t>124</w:t>
            </w:r>
          </w:p>
        </w:tc>
        <w:tc>
          <w:tcPr>
            <w:tcW w:type="dxa" w:w="2340"/>
            <w:vAlign w:val="center"/>
            <w:shd w:fill="F8FAFC"/>
          </w:tcPr>
          <w:p>
            <w:pPr>
              <w:spacing w:after="40"/>
            </w:pPr>
            <w:r>
              <w:rPr>
                <w:rFonts w:ascii="Calibri" w:hAnsi="Calibri" w:eastAsia="Heiti TC"/>
                <w:b/>
                <w:color w:val="667085"/>
                <w:sz w:val="17"/>
              </w:rPr>
              <w:t>活跃分析师</w:t>
              <w:br/>
            </w:r>
            <w:r>
              <w:rPr>
                <w:rFonts w:ascii="Calibri" w:hAnsi="Calibri" w:eastAsia="Heiti TC"/>
                <w:b/>
                <w:color w:val="237A5B"/>
                <w:sz w:val="36"/>
              </w:rPr>
              <w:t>20</w:t>
            </w:r>
          </w:p>
        </w:tc>
        <w:tc>
          <w:tcPr>
            <w:tcW w:type="dxa" w:w="2340"/>
            <w:vAlign w:val="center"/>
            <w:shd w:fill="F8FAFC"/>
          </w:tcPr>
          <w:p>
            <w:pPr>
              <w:spacing w:after="40"/>
            </w:pPr>
            <w:r>
              <w:rPr>
                <w:rFonts w:ascii="Calibri" w:hAnsi="Calibri" w:eastAsia="Heiti TC"/>
                <w:b/>
                <w:color w:val="667085"/>
                <w:sz w:val="17"/>
              </w:rPr>
              <w:t>活跃链条</w:t>
              <w:br/>
            </w:r>
            <w:r>
              <w:rPr>
                <w:rFonts w:ascii="Calibri" w:hAnsi="Calibri" w:eastAsia="Heiti TC"/>
                <w:b/>
                <w:color w:val="A8731B"/>
                <w:sz w:val="36"/>
              </w:rPr>
              <w:t>6</w:t>
            </w:r>
          </w:p>
        </w:tc>
        <w:tc>
          <w:tcPr>
            <w:tcW w:type="dxa" w:w="2340"/>
            <w:vAlign w:val="center"/>
            <w:shd w:fill="F8FAFC"/>
          </w:tcPr>
          <w:p>
            <w:pPr>
              <w:spacing w:after="40"/>
            </w:pPr>
            <w:r>
              <w:rPr>
                <w:rFonts w:ascii="Calibri" w:hAnsi="Calibri" w:eastAsia="Heiti TC"/>
                <w:b/>
                <w:color w:val="667085"/>
                <w:sz w:val="17"/>
              </w:rPr>
              <w:t>风险信号</w:t>
              <w:br/>
            </w:r>
            <w:r>
              <w:rPr>
                <w:rFonts w:ascii="Calibri" w:hAnsi="Calibri" w:eastAsia="Heiti TC"/>
                <w:b/>
                <w:color w:val="B43D49"/>
                <w:sz w:val="36"/>
              </w:rPr>
              <w:t>16</w:t>
            </w:r>
          </w:p>
        </w:tc>
      </w:tr>
    </w:tbl>
    <w:p>
      <w:pPr>
        <w:spacing w:before="0" w:after="160" w:line="264" w:lineRule="auto"/>
      </w:pPr>
    </w:p>
    <w:p>
      <w:pPr>
        <w:spacing w:before="40" w:after="60"/>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daily-brief-2026-06-19-web-summary.png"/>
                    <pic:cNvPicPr/>
                  </pic:nvPicPr>
                  <pic:blipFill>
                    <a:blip r:embed="rId11"/>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1. Webpage snapshot of the daily synthesis and key operating metrics.</w:t>
      </w:r>
    </w:p>
    <w:p>
      <w:pPr>
        <w:pStyle w:val="Heading1"/>
      </w:pPr>
      <w:r>
        <w:t>1. 综合研判</w:t>
      </w:r>
    </w:p>
    <w:p>
      <w:pPr>
        <w:spacing w:after="140"/>
        <w:ind w:left="259" w:hanging="259"/>
      </w:pPr>
      <w:r>
        <w:rPr>
          <w:rFonts w:ascii="Calibri" w:hAnsi="Calibri" w:eastAsia="Heiti TC"/>
          <w:b/>
          <w:color w:val="285B9D"/>
          <w:sz w:val="21"/>
        </w:rPr>
        <w:t xml:space="preserve">主线判断: </w:t>
      </w:r>
      <w:hyperlink r:id="rId12">
        <w:r>
          <w:rPr>
            <w:color w:val="285B9D"/>
            <w:u w:val="single"/>
            <w:rFonts w:eastAsia="Heiti TC" w:ascii="Calibri" w:hAnsi="Calibri"/>
          </w:rPr>
          <w:t>prior research notes-06-19 — AI 电力交付的电网设备与并网瓶颈验证 是今日最高权重结论，核心证据来自 未识别，关联 电力与电网。</w:t>
        </w:r>
      </w:hyperlink>
    </w:p>
    <w:p>
      <w:pPr>
        <w:spacing w:after="140"/>
        <w:ind w:left="259" w:hanging="259"/>
      </w:pPr>
      <w:r>
        <w:rPr>
          <w:rFonts w:ascii="Calibri" w:hAnsi="Calibri" w:eastAsia="Heiti TC"/>
          <w:b/>
          <w:color w:val="285B9D"/>
          <w:sz w:val="21"/>
        </w:rPr>
        <w:t xml:space="preserve">变化信号: </w:t>
      </w:r>
      <w:r>
        <w:rPr>
          <w:rFonts w:ascii="Calibri" w:hAnsi="Calibri" w:eastAsia="Heiti TC"/>
          <w:color w:val="111827"/>
          <w:sz w:val="21"/>
        </w:rPr>
        <w:t>AI 今日 降温，当日计数 108，前一日计数 243。</w:t>
      </w:r>
    </w:p>
    <w:p>
      <w:pPr>
        <w:spacing w:after="140"/>
        <w:ind w:left="259" w:hanging="259"/>
      </w:pPr>
      <w:r>
        <w:rPr>
          <w:rFonts w:ascii="Calibri" w:hAnsi="Calibri" w:eastAsia="Heiti TC"/>
          <w:b/>
          <w:color w:val="285B9D"/>
          <w:sz w:val="21"/>
        </w:rPr>
        <w:t xml:space="preserve">风险焦点: </w:t>
      </w:r>
      <w:hyperlink r:id="rId13">
        <w:r>
          <w:rPr>
            <w:color w:val="285B9D"/>
            <w:u w:val="single"/>
            <w:rFonts w:eastAsia="Heiti TC" w:ascii="Calibri" w:hAnsi="Calibri"/>
          </w:rPr>
          <w:t>风险矩阵最需要跟踪的是 AI 基础设施：跨越电力约束：AI基础设施瓶颈向全球权益市场的配置与估值映射。</w:t>
        </w:r>
      </w:hyperlink>
    </w:p>
    <w:p>
      <w:pPr>
        <w:spacing w:after="140"/>
        <w:ind w:left="259" w:hanging="259"/>
      </w:pPr>
      <w:r>
        <w:rPr>
          <w:rFonts w:ascii="Calibri" w:hAnsi="Calibri" w:eastAsia="Heiti TC"/>
          <w:b/>
          <w:color w:val="285B9D"/>
          <w:sz w:val="21"/>
        </w:rPr>
        <w:t xml:space="preserve">证据密度: </w:t>
      </w:r>
      <w:hyperlink r:id="rId14">
        <w:r>
          <w:rPr>
            <w:color w:val="285B9D"/>
            <w:u w:val="single"/>
            <w:rFonts w:eastAsia="Heiti TC" w:ascii="Calibri" w:hAnsi="Calibri"/>
          </w:rPr>
          <w:t>宏观通胀传导 今日 110 条、近七日 1482 条，风险信号 1088 条。</w:t>
        </w:r>
      </w:hyperlink>
    </w:p>
    <w:tbl>
      <w:tblPr>
        <w:tblW w:type="dxa" w:w="9360"/>
        <w:jc w:val="left"/>
        <w:tblLayout w:type="fixed"/>
        <w:tblLook w:firstColumn="1" w:firstRow="1" w:lastColumn="0" w:lastRow="0" w:noHBand="0" w:noVBand="1" w:val="04A0"/>
      </w:tblPr>
      <w:tblGrid>
        <w:gridCol w:w="9360"/>
      </w:tblGrid>
      <w:tr>
        <w:tc>
          <w:tcPr>
            <w:tcW w:type="dxa" w:w="9360"/>
            <w:vAlign w:val="center"/>
            <w:shd w:fill="FFF7E6"/>
          </w:tcPr>
          <w:p>
            <w:r>
              <w:rPr>
                <w:rFonts w:ascii="Calibri" w:hAnsi="Calibri" w:eastAsia="Heiti TC"/>
                <w:b/>
                <w:color w:val="7A5A00"/>
                <w:sz w:val="21"/>
              </w:rPr>
              <w:t xml:space="preserve">投资解读: </w:t>
            </w:r>
            <w:r>
              <w:rPr>
                <w:rFonts w:ascii="Calibri" w:hAnsi="Calibri" w:eastAsia="Heiti TC"/>
                <w:color w:val="7C2D12"/>
                <w:sz w:val="21"/>
              </w:rPr>
              <w:t>投资含义上，本日简报更适合作为主题和风险筛选器：先看行业链雷达确认资金关注方向，再用风险矩阵排除证据不足或约束过强的交易表达。</w:t>
            </w:r>
          </w:p>
        </w:tc>
      </w:tr>
    </w:tbl>
    <w:p>
      <w:pPr>
        <w:spacing w:before="0" w:after="120" w:line="264" w:lineRule="auto"/>
      </w:pPr>
    </w:p>
    <w:p>
      <w:pPr>
        <w:pStyle w:val="Heading1"/>
      </w:pPr>
      <w:r>
        <w:t>2. 可视化仪表板</w:t>
      </w:r>
    </w:p>
    <w:p>
      <w:pPr>
        <w:spacing w:before="40" w:after="60"/>
        <w:jc w:val="center"/>
      </w:pPr>
      <w:r>
        <w:drawing>
          <wp:inline xmlns:a="http://schemas.openxmlformats.org/drawingml/2006/main" xmlns:pic="http://schemas.openxmlformats.org/drawingml/2006/picture">
            <wp:extent cx="5806440" cy="3870960"/>
            <wp:docPr id="2" name="Picture 2"/>
            <wp:cNvGraphicFramePr>
              <a:graphicFrameLocks noChangeAspect="1"/>
            </wp:cNvGraphicFramePr>
            <a:graphic>
              <a:graphicData uri="http://schemas.openxmlformats.org/drawingml/2006/picture">
                <pic:pic>
                  <pic:nvPicPr>
                    <pic:cNvPr id="0" name="daily-brief-2026-06-19-web-trend.png"/>
                    <pic:cNvPicPr/>
                  </pic:nvPicPr>
                  <pic:blipFill>
                    <a:blip r:embed="rId15"/>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2. Webpage snapshot of topic momentum and daily change signals.</w:t>
      </w:r>
    </w:p>
    <w:p>
      <w:pPr>
        <w:spacing w:before="40" w:after="60"/>
        <w:jc w:val="center"/>
      </w:pPr>
      <w:r>
        <w:drawing>
          <wp:inline xmlns:a="http://schemas.openxmlformats.org/drawingml/2006/main" xmlns:pic="http://schemas.openxmlformats.org/drawingml/2006/picture">
            <wp:extent cx="5806440" cy="3870960"/>
            <wp:docPr id="3" name="Picture 3"/>
            <wp:cNvGraphicFramePr>
              <a:graphicFrameLocks noChangeAspect="1"/>
            </wp:cNvGraphicFramePr>
            <a:graphic>
              <a:graphicData uri="http://schemas.openxmlformats.org/drawingml/2006/picture">
                <pic:pic>
                  <pic:nvPicPr>
                    <pic:cNvPr id="0" name="daily-brief-2026-06-19-web-chains.png"/>
                    <pic:cNvPicPr/>
                  </pic:nvPicPr>
                  <pic:blipFill>
                    <a:blip r:embed="rId16"/>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3. Webpage snapshot of industry-chain heat and evidence links.</w:t>
      </w:r>
    </w:p>
    <w:p>
      <w:r>
        <w:br w:type="page"/>
      </w:r>
    </w:p>
    <w:p>
      <w:pPr>
        <w:spacing w:before="40" w:after="60"/>
        <w:jc w:val="center"/>
      </w:pPr>
      <w:r>
        <w:drawing>
          <wp:inline xmlns:a="http://schemas.openxmlformats.org/drawingml/2006/main" xmlns:pic="http://schemas.openxmlformats.org/drawingml/2006/picture">
            <wp:extent cx="5806440" cy="3870960"/>
            <wp:docPr id="4" name="Picture 4"/>
            <wp:cNvGraphicFramePr>
              <a:graphicFrameLocks noChangeAspect="1"/>
            </wp:cNvGraphicFramePr>
            <a:graphic>
              <a:graphicData uri="http://schemas.openxmlformats.org/drawingml/2006/picture">
                <pic:pic>
                  <pic:nvPicPr>
                    <pic:cNvPr id="0" name="daily-brief-2026-06-19-web-risk.png"/>
                    <pic:cNvPicPr/>
                  </pic:nvPicPr>
                  <pic:blipFill>
                    <a:blip r:embed="rId17"/>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4. Webpage snapshot of the risk matrix and pressure-test items.</w:t>
      </w:r>
    </w:p>
    <w:p>
      <w:r>
        <w:br w:type="page"/>
      </w:r>
    </w:p>
    <w:p>
      <w:pPr>
        <w:spacing w:before="40" w:after="60"/>
        <w:jc w:val="center"/>
      </w:pPr>
      <w:r>
        <w:drawing>
          <wp:inline xmlns:a="http://schemas.openxmlformats.org/drawingml/2006/main" xmlns:pic="http://schemas.openxmlformats.org/drawingml/2006/picture">
            <wp:extent cx="5806440" cy="3870960"/>
            <wp:docPr id="5" name="Picture 5"/>
            <wp:cNvGraphicFramePr>
              <a:graphicFrameLocks noChangeAspect="1"/>
            </wp:cNvGraphicFramePr>
            <a:graphic>
              <a:graphicData uri="http://schemas.openxmlformats.org/drawingml/2006/picture">
                <pic:pic>
                  <pic:nvPicPr>
                    <pic:cNvPr id="0" name="daily-brief-2026-06-19-web-heatmap.png"/>
                    <pic:cNvPicPr/>
                  </pic:nvPicPr>
                  <pic:blipFill>
                    <a:blip r:embed="rId18"/>
                    <a:stretch>
                      <a:fillRect/>
                    </a:stretch>
                  </pic:blipFill>
                  <pic:spPr>
                    <a:xfrm>
                      <a:off x="0" y="0"/>
                      <a:ext cx="5806440" cy="3870960"/>
                    </a:xfrm>
                    <a:prstGeom prst="rect"/>
                  </pic:spPr>
                </pic:pic>
              </a:graphicData>
            </a:graphic>
          </wp:inline>
        </w:drawing>
      </w:r>
    </w:p>
    <w:p>
      <w:pPr>
        <w:keepNext w:val="0"/>
        <w:spacing w:before="0" w:after="200" w:line="264" w:lineRule="auto"/>
        <w:jc w:val="center"/>
      </w:pPr>
      <w:r>
        <w:rPr>
          <w:rFonts w:ascii="Calibri" w:hAnsi="Calibri" w:eastAsia="Heiti TC"/>
          <w:b w:val="0"/>
          <w:i/>
          <w:color w:val="667085"/>
          <w:sz w:val="17"/>
        </w:rPr>
        <w:t>Figure 5. Webpage snapshot of analyst activity and ranked conclusions.</w:t>
      </w:r>
    </w:p>
    <w:p>
      <w:pPr>
        <w:pStyle w:val="Heading1"/>
      </w:pPr>
      <w:r>
        <w:t>3. 今日核心结论</w:t>
      </w:r>
    </w:p>
    <w:p>
      <w:pPr>
        <w:spacing w:before="0" w:after="40" w:line="264" w:lineRule="auto"/>
      </w:pPr>
      <w:r>
        <w:rPr>
          <w:rFonts w:ascii="Calibri" w:hAnsi="Calibri" w:eastAsia="Heiti TC"/>
          <w:b/>
          <w:i w:val="0"/>
          <w:color w:val="0B2545"/>
          <w:sz w:val="23"/>
        </w:rPr>
        <w:t>1. prior research notes-06-19 — AI 电力交付的电网设备与并网瓶颈验证</w:t>
      </w:r>
    </w:p>
    <w:p>
      <w:pPr>
        <w:spacing w:before="0" w:after="40" w:line="264" w:lineRule="auto"/>
      </w:pPr>
      <w:r>
        <w:rPr>
          <w:rFonts w:ascii="Calibri" w:hAnsi="Calibri" w:eastAsia="Heiti TC"/>
          <w:b w:val="0"/>
          <w:i w:val="0"/>
          <w:color w:val="667085"/>
          <w:sz w:val="17"/>
        </w:rPr>
        <w:t>未识别 · 电力与电网 · score 51.9</w:t>
      </w:r>
    </w:p>
    <w:p>
      <w:pPr>
        <w:spacing w:before="0" w:after="100" w:line="264" w:lineRule="auto"/>
      </w:pPr>
      <w:r>
        <w:rPr>
          <w:rFonts w:ascii="Calibri" w:hAnsi="Calibri" w:eastAsia="Heiti TC"/>
          <w:b w:val="0"/>
          <w:i w:val="0"/>
          <w:color w:val="334155"/>
          <w:sz w:val="20"/>
        </w:rPr>
        <w:t>prior research notes-06-19 — AI 电力交付的电网设备与并网瓶颈验证</w:t>
      </w:r>
    </w:p>
    <w:p>
      <w:pPr>
        <w:spacing w:before="0" w:after="160" w:line="264" w:lineRule="auto"/>
      </w:pPr>
      <w:r>
        <w:rPr>
          <w:rFonts w:ascii="Calibri" w:hAnsi="Calibri" w:eastAsia="Heiti TC"/>
          <w:b w:val="0"/>
          <w:i w:val="0"/>
          <w:color w:val="667085"/>
          <w:sz w:val="17"/>
        </w:rPr>
        <w:t xml:space="preserve">Report: </w:t>
      </w:r>
      <w:hyperlink r:id="rId12">
        <w:r>
          <w:rPr>
            <w:color w:val="285B9D"/>
            <w:u w:val="single"/>
            <w:rFonts w:eastAsia="Heiti TC" w:ascii="Calibri" w:hAnsi="Calibri"/>
          </w:rPr>
          <w:t>reports/archive-ed74991c0bf1</w:t>
        </w:r>
      </w:hyperlink>
    </w:p>
    <w:p>
      <w:pPr>
        <w:spacing w:before="0" w:after="40" w:line="264" w:lineRule="auto"/>
      </w:pPr>
      <w:r>
        <w:rPr>
          <w:rFonts w:ascii="Calibri" w:hAnsi="Calibri" w:eastAsia="Heiti TC"/>
          <w:b/>
          <w:i w:val="0"/>
          <w:color w:val="0B2545"/>
          <w:sz w:val="23"/>
        </w:rPr>
        <w:t>2. 能源压力测试：电力市场波动、电网容量与 AI 算力 NPV</w:t>
      </w:r>
    </w:p>
    <w:p>
      <w:pPr>
        <w:spacing w:before="0" w:after="40" w:line="264" w:lineRule="auto"/>
      </w:pPr>
      <w:r>
        <w:rPr>
          <w:rFonts w:ascii="Calibri" w:hAnsi="Calibri" w:eastAsia="Heiti TC"/>
          <w:b w:val="0"/>
          <w:i w:val="0"/>
          <w:color w:val="667085"/>
          <w:sz w:val="17"/>
        </w:rPr>
        <w:t>未识别 · AI 基础设施 · score 50.8</w:t>
      </w:r>
    </w:p>
    <w:p>
      <w:pPr>
        <w:spacing w:before="0" w:after="100" w:line="264" w:lineRule="auto"/>
      </w:pPr>
      <w:r>
        <w:rPr>
          <w:rFonts w:ascii="Calibri" w:hAnsi="Calibri" w:eastAsia="Heiti TC"/>
          <w:b w:val="0"/>
          <w:i w:val="0"/>
          <w:color w:val="334155"/>
          <w:sz w:val="20"/>
        </w:rPr>
        <w:t>报告日期： 2026-06-19（Asia/Singapore 权威工作日期） - 研究 / 研究记录： 24bd3174-afc1-4cde-9404-32432c46fa8b / prior research notes- 分析师： energy-analyst - 立场： stress-test</w:t>
      </w:r>
    </w:p>
    <w:p>
      <w:pPr>
        <w:spacing w:before="0" w:after="160" w:line="264" w:lineRule="auto"/>
      </w:pPr>
      <w:r>
        <w:rPr>
          <w:rFonts w:ascii="Calibri" w:hAnsi="Calibri" w:eastAsia="Heiti TC"/>
          <w:b w:val="0"/>
          <w:i w:val="0"/>
          <w:color w:val="667085"/>
          <w:sz w:val="17"/>
        </w:rPr>
        <w:t xml:space="preserve">Report: </w:t>
      </w:r>
      <w:hyperlink r:id="rId19">
        <w:r>
          <w:rPr>
            <w:color w:val="285B9D"/>
            <w:u w:val="single"/>
            <w:rFonts w:eastAsia="Heiti TC" w:ascii="Calibri" w:hAnsi="Calibri"/>
          </w:rPr>
          <w:t>reports/archive-1e8b5e99f12f</w:t>
        </w:r>
      </w:hyperlink>
    </w:p>
    <w:p>
      <w:pPr>
        <w:spacing w:before="0" w:after="40" w:line="264" w:lineRule="auto"/>
      </w:pPr>
      <w:r>
        <w:rPr>
          <w:rFonts w:ascii="Calibri" w:hAnsi="Calibri" w:eastAsia="Heiti TC"/>
          <w:b/>
          <w:i w:val="0"/>
          <w:color w:val="0B2545"/>
          <w:sz w:val="23"/>
        </w:rPr>
        <w:t>3. 能源设备瓶颈与AI电力篮子的压力测试</w:t>
      </w:r>
    </w:p>
    <w:p>
      <w:pPr>
        <w:spacing w:before="0" w:after="40" w:line="264" w:lineRule="auto"/>
      </w:pPr>
      <w:r>
        <w:rPr>
          <w:rFonts w:ascii="Calibri" w:hAnsi="Calibri" w:eastAsia="Heiti TC"/>
          <w:b w:val="0"/>
          <w:i w:val="0"/>
          <w:color w:val="667085"/>
          <w:sz w:val="17"/>
        </w:rPr>
        <w:t>未识别 · 宏观通胀传导 · score 49.4</w:t>
      </w:r>
    </w:p>
    <w:p>
      <w:pPr>
        <w:spacing w:before="0" w:after="100" w:line="264" w:lineRule="auto"/>
      </w:pPr>
      <w:r>
        <w:rPr>
          <w:rFonts w:ascii="Calibri" w:hAnsi="Calibri" w:eastAsia="Heiti TC"/>
          <w:b w:val="0"/>
          <w:i w:val="0"/>
          <w:color w:val="334155"/>
          <w:sz w:val="20"/>
        </w:rPr>
        <w:t>研究 prior research notes/08 · 能源行业分析师 · 立场：压力测试 工作日期：2026-06-19（Asia/Singapore）· Board 5b84862f-9d24-4785-88b3-088112ff0386</w:t>
      </w:r>
    </w:p>
    <w:p>
      <w:pPr>
        <w:spacing w:before="0" w:after="160" w:line="264" w:lineRule="auto"/>
      </w:pPr>
      <w:r>
        <w:rPr>
          <w:rFonts w:ascii="Calibri" w:hAnsi="Calibri" w:eastAsia="Heiti TC"/>
          <w:b w:val="0"/>
          <w:i w:val="0"/>
          <w:color w:val="667085"/>
          <w:sz w:val="17"/>
        </w:rPr>
        <w:t xml:space="preserve">Report: </w:t>
      </w:r>
      <w:hyperlink r:id="rId20">
        <w:r>
          <w:rPr>
            <w:color w:val="285B9D"/>
            <w:u w:val="single"/>
            <w:rFonts w:eastAsia="Heiti TC" w:ascii="Calibri" w:hAnsi="Calibri"/>
          </w:rPr>
          <w:t>reports/archive-66ba3c570dd6</w:t>
        </w:r>
      </w:hyperlink>
    </w:p>
    <w:p>
      <w:pPr>
        <w:spacing w:before="0" w:after="40" w:line="264" w:lineRule="auto"/>
      </w:pPr>
      <w:r>
        <w:rPr>
          <w:rFonts w:ascii="Calibri" w:hAnsi="Calibri" w:eastAsia="Heiti TC"/>
          <w:b/>
          <w:i w:val="0"/>
          <w:color w:val="0B2545"/>
          <w:sz w:val="23"/>
        </w:rPr>
        <w:t>4. 公用事业分析师2026-06-19</w:t>
      </w:r>
    </w:p>
    <w:p>
      <w:pPr>
        <w:spacing w:before="0" w:after="40" w:line="264" w:lineRule="auto"/>
      </w:pPr>
      <w:r>
        <w:rPr>
          <w:rFonts w:ascii="Calibri" w:hAnsi="Calibri" w:eastAsia="Heiti TC"/>
          <w:b w:val="0"/>
          <w:i w:val="0"/>
          <w:color w:val="667085"/>
          <w:sz w:val="17"/>
        </w:rPr>
        <w:t>未识别 · 电力与电网 · score 48.1</w:t>
      </w:r>
    </w:p>
    <w:p>
      <w:pPr>
        <w:spacing w:before="0" w:after="100" w:line="264" w:lineRule="auto"/>
      </w:pPr>
      <w:r>
        <w:rPr>
          <w:rFonts w:ascii="Calibri" w:hAnsi="Calibri" w:eastAsia="Heiti TC"/>
          <w:b w:val="0"/>
          <w:i w:val="0"/>
          <w:color w:val="334155"/>
          <w:sz w:val="20"/>
        </w:rPr>
        <w:t>截至研究所工作日期 2026-06-19 [自测算: date +%Y-%m-%d 返回 2026-06-19]，我支持前序研究的方向：AI 基础设施的下一个主要瓶颈正在从芯片本身，转向电力可获得性、电网并网、以及长交期电力...</w:t>
      </w:r>
    </w:p>
    <w:p>
      <w:pPr>
        <w:spacing w:before="0" w:after="160" w:line="264" w:lineRule="auto"/>
      </w:pPr>
      <w:r>
        <w:rPr>
          <w:rFonts w:ascii="Calibri" w:hAnsi="Calibri" w:eastAsia="Heiti TC"/>
          <w:b w:val="0"/>
          <w:i w:val="0"/>
          <w:color w:val="667085"/>
          <w:sz w:val="17"/>
        </w:rPr>
        <w:t xml:space="preserve">Report: </w:t>
      </w:r>
      <w:hyperlink r:id="rId21">
        <w:r>
          <w:rPr>
            <w:color w:val="285B9D"/>
            <w:u w:val="single"/>
            <w:rFonts w:eastAsia="Heiti TC" w:ascii="Calibri" w:hAnsi="Calibri"/>
          </w:rPr>
          <w:t>reports/archive-4e44fac4b71a</w:t>
        </w:r>
      </w:hyperlink>
    </w:p>
    <w:p>
      <w:pPr>
        <w:spacing w:before="0" w:after="40" w:line="264" w:lineRule="auto"/>
      </w:pPr>
      <w:r>
        <w:rPr>
          <w:rFonts w:ascii="Calibri" w:hAnsi="Calibri" w:eastAsia="Heiti TC"/>
          <w:b/>
          <w:i w:val="0"/>
          <w:color w:val="0B2545"/>
          <w:sz w:val="23"/>
        </w:rPr>
        <w:t>5. 2026-06-19 — 电气设备制造商：扩产、定价权与利润率持久性</w:t>
      </w:r>
    </w:p>
    <w:p>
      <w:pPr>
        <w:spacing w:before="0" w:after="40" w:line="264" w:lineRule="auto"/>
      </w:pPr>
      <w:r>
        <w:rPr>
          <w:rFonts w:ascii="Calibri" w:hAnsi="Calibri" w:eastAsia="Heiti TC"/>
          <w:b w:val="0"/>
          <w:i w:val="0"/>
          <w:color w:val="667085"/>
          <w:sz w:val="17"/>
        </w:rPr>
        <w:t>未识别 · 工业供给瓶颈 · score 47.5</w:t>
      </w:r>
    </w:p>
    <w:p>
      <w:pPr>
        <w:spacing w:before="0" w:after="100" w:line="264" w:lineRule="auto"/>
      </w:pPr>
      <w:r>
        <w:rPr>
          <w:rFonts w:ascii="Calibri" w:hAnsi="Calibri" w:eastAsia="Heiti TC"/>
          <w:b w:val="0"/>
          <w:i w:val="0"/>
          <w:color w:val="334155"/>
          <w:sz w:val="20"/>
        </w:rPr>
        <w:t>AI电力交付主题的久期分化与估值重估边界 - 研究记录 - 分析师 : 工业制造分析师 - 立场 : 综合，支持03，但加入供应商质量筛选 - 日期 : 2026-06-19（Asia/Singapore）</w:t>
      </w:r>
    </w:p>
    <w:p>
      <w:pPr>
        <w:spacing w:before="0" w:after="160" w:line="264" w:lineRule="auto"/>
      </w:pPr>
      <w:r>
        <w:rPr>
          <w:rFonts w:ascii="Calibri" w:hAnsi="Calibri" w:eastAsia="Heiti TC"/>
          <w:b w:val="0"/>
          <w:i w:val="0"/>
          <w:color w:val="667085"/>
          <w:sz w:val="17"/>
        </w:rPr>
        <w:t xml:space="preserve">Report: </w:t>
      </w:r>
      <w:hyperlink r:id="rId22">
        <w:r>
          <w:rPr>
            <w:color w:val="285B9D"/>
            <w:u w:val="single"/>
            <w:rFonts w:eastAsia="Heiti TC" w:ascii="Calibri" w:hAnsi="Calibri"/>
          </w:rPr>
          <w:t>reports/archive-381b0c8206a8</w:t>
        </w:r>
      </w:hyperlink>
    </w:p>
    <w:p>
      <w:pPr>
        <w:spacing w:before="0" w:after="40" w:line="264" w:lineRule="auto"/>
      </w:pPr>
      <w:r>
        <w:rPr>
          <w:rFonts w:ascii="Calibri" w:hAnsi="Calibri" w:eastAsia="Heiti TC"/>
          <w:b/>
          <w:i w:val="0"/>
          <w:color w:val="0B2545"/>
          <w:sz w:val="23"/>
        </w:rPr>
        <w:t>6. AI电网设备短缺对主要CSP及芯片商收入预期的量化影响评估报告</w:t>
      </w:r>
    </w:p>
    <w:p>
      <w:pPr>
        <w:spacing w:before="0" w:after="40" w:line="264" w:lineRule="auto"/>
      </w:pPr>
      <w:r>
        <w:rPr>
          <w:rFonts w:ascii="Calibri" w:hAnsi="Calibri" w:eastAsia="Heiti TC"/>
          <w:b w:val="0"/>
          <w:i w:val="0"/>
          <w:color w:val="667085"/>
          <w:sz w:val="17"/>
        </w:rPr>
        <w:t>未识别 · 宏观通胀传导 · score 47.0</w:t>
      </w:r>
    </w:p>
    <w:p>
      <w:pPr>
        <w:spacing w:before="0" w:after="100" w:line="264" w:lineRule="auto"/>
      </w:pPr>
      <w:r>
        <w:rPr>
          <w:rFonts w:ascii="Calibri" w:hAnsi="Calibri" w:eastAsia="Heiti TC"/>
          <w:b w:val="0"/>
          <w:i w:val="0"/>
          <w:color w:val="334155"/>
          <w:sz w:val="20"/>
        </w:rPr>
        <w:t>报告日期： 2026-06-19 (Asia/Singapore) - 研究门户 ID： 9df029e2-9304-4a7e-9955-18749316df9d - 共享会议路由： 805102d5-0f7c-4ca7-8172-bffc83181fb3 - 研究记录位置： 研究记录 核心立场...</w:t>
      </w:r>
    </w:p>
    <w:p>
      <w:pPr>
        <w:spacing w:before="0" w:after="160" w:line="264" w:lineRule="auto"/>
      </w:pPr>
      <w:r>
        <w:rPr>
          <w:rFonts w:ascii="Calibri" w:hAnsi="Calibri" w:eastAsia="Heiti TC"/>
          <w:b w:val="0"/>
          <w:i w:val="0"/>
          <w:color w:val="667085"/>
          <w:sz w:val="17"/>
        </w:rPr>
        <w:t xml:space="preserve">Report: </w:t>
      </w:r>
      <w:hyperlink r:id="rId23">
        <w:r>
          <w:rPr>
            <w:color w:val="285B9D"/>
            <w:u w:val="single"/>
            <w:rFonts w:eastAsia="Heiti TC" w:ascii="Calibri" w:hAnsi="Calibri"/>
          </w:rPr>
          <w:t>reports/archive-8675ea7a9eaf</w:t>
        </w:r>
      </w:hyperlink>
    </w:p>
    <w:p>
      <w:pPr>
        <w:pStyle w:val="Heading1"/>
      </w:pPr>
      <w:r>
        <w:t>4. 重点跟踪事项</w:t>
      </w:r>
    </w:p>
    <w:p>
      <w:pPr>
        <w:spacing w:before="0" w:after="40" w:line="264" w:lineRule="auto"/>
      </w:pPr>
      <w:r>
        <w:rPr>
          <w:rFonts w:ascii="Calibri" w:hAnsi="Calibri" w:eastAsia="Heiti TC"/>
          <w:b/>
          <w:i w:val="0"/>
          <w:color w:val="0B2545"/>
          <w:sz w:val="22"/>
        </w:rPr>
        <w:t>跨越电力约束：AI基础设施瓶颈向全球权益市场的配置与估值映射</w:t>
      </w:r>
    </w:p>
    <w:p>
      <w:pPr>
        <w:spacing w:before="0" w:after="60" w:line="264" w:lineRule="auto"/>
      </w:pPr>
      <w:r>
        <w:rPr>
          <w:rFonts w:ascii="Calibri" w:hAnsi="Calibri" w:eastAsia="Heiti TC"/>
          <w:b w:val="0"/>
          <w:i w:val="0"/>
          <w:color w:val="334155"/>
          <w:sz w:val="20"/>
        </w:rPr>
        <w:t>AI 基础设施，影响 5 / 概率 5</w:t>
      </w:r>
    </w:p>
    <w:p>
      <w:pPr>
        <w:spacing w:before="0" w:after="160" w:line="264" w:lineRule="auto"/>
      </w:pPr>
      <w:r>
        <w:rPr>
          <w:rFonts w:ascii="Calibri" w:hAnsi="Calibri" w:eastAsia="Heiti TC"/>
          <w:b w:val="0"/>
          <w:i w:val="0"/>
          <w:color w:val="667085"/>
          <w:sz w:val="17"/>
        </w:rPr>
        <w:t xml:space="preserve">Report: </w:t>
      </w:r>
      <w:hyperlink r:id="rId13">
        <w:r>
          <w:rPr>
            <w:color w:val="285B9D"/>
            <w:u w:val="single"/>
            <w:rFonts w:eastAsia="Heiti TC" w:ascii="Calibri" w:hAnsi="Calibri"/>
          </w:rPr>
          <w:t>reports/archive-6984a39e382c</w:t>
        </w:r>
      </w:hyperlink>
    </w:p>
    <w:p>
      <w:pPr>
        <w:spacing w:before="0" w:after="40" w:line="264" w:lineRule="auto"/>
      </w:pPr>
      <w:r>
        <w:rPr>
          <w:rFonts w:ascii="Calibri" w:hAnsi="Calibri" w:eastAsia="Heiti TC"/>
          <w:b/>
          <w:i w:val="0"/>
          <w:color w:val="0B2545"/>
          <w:sz w:val="22"/>
        </w:rPr>
        <w:t>终审质量审计：AI至电网基础设施白皮书 — 2026-06-18</w:t>
      </w:r>
    </w:p>
    <w:p>
      <w:pPr>
        <w:spacing w:before="0" w:after="60" w:line="264" w:lineRule="auto"/>
      </w:pPr>
      <w:r>
        <w:rPr>
          <w:rFonts w:ascii="Calibri" w:hAnsi="Calibri" w:eastAsia="Heiti TC"/>
          <w:b w:val="0"/>
          <w:i w:val="0"/>
          <w:color w:val="334155"/>
          <w:sz w:val="20"/>
        </w:rPr>
        <w:t>AI 基础设施，影响 5 / 概率 1</w:t>
      </w:r>
    </w:p>
    <w:p>
      <w:pPr>
        <w:spacing w:before="0" w:after="160" w:line="264" w:lineRule="auto"/>
      </w:pPr>
      <w:r>
        <w:rPr>
          <w:rFonts w:ascii="Calibri" w:hAnsi="Calibri" w:eastAsia="Heiti TC"/>
          <w:b w:val="0"/>
          <w:i w:val="0"/>
          <w:color w:val="667085"/>
          <w:sz w:val="17"/>
        </w:rPr>
        <w:t xml:space="preserve">Report: </w:t>
      </w:r>
      <w:hyperlink r:id="rId24">
        <w:r>
          <w:rPr>
            <w:color w:val="285B9D"/>
            <w:u w:val="single"/>
            <w:rFonts w:eastAsia="Heiti TC" w:ascii="Calibri" w:hAnsi="Calibri"/>
          </w:rPr>
          <w:t>reports/archive-9906cc6fde45</w:t>
        </w:r>
      </w:hyperlink>
    </w:p>
    <w:p>
      <w:pPr>
        <w:spacing w:before="0" w:after="40" w:line="264" w:lineRule="auto"/>
      </w:pPr>
      <w:r>
        <w:rPr>
          <w:rFonts w:ascii="Calibri" w:hAnsi="Calibri" w:eastAsia="Heiti TC"/>
          <w:b/>
          <w:i w:val="0"/>
          <w:color w:val="0B2545"/>
          <w:sz w:val="22"/>
        </w:rPr>
        <w:t>电网设备供应链瓶颈：变压器及核心部件交期压力测试</w:t>
      </w:r>
    </w:p>
    <w:p>
      <w:pPr>
        <w:spacing w:before="0" w:after="60" w:line="264" w:lineRule="auto"/>
      </w:pPr>
      <w:r>
        <w:rPr>
          <w:rFonts w:ascii="Calibri" w:hAnsi="Calibri" w:eastAsia="Heiti TC"/>
          <w:b w:val="0"/>
          <w:i w:val="0"/>
          <w:color w:val="334155"/>
          <w:sz w:val="20"/>
        </w:rPr>
        <w:t>工业供给瓶颈，影响 5 / 概率 5</w:t>
      </w:r>
    </w:p>
    <w:p>
      <w:pPr>
        <w:spacing w:before="0" w:after="160" w:line="264" w:lineRule="auto"/>
      </w:pPr>
      <w:r>
        <w:rPr>
          <w:rFonts w:ascii="Calibri" w:hAnsi="Calibri" w:eastAsia="Heiti TC"/>
          <w:b w:val="0"/>
          <w:i w:val="0"/>
          <w:color w:val="667085"/>
          <w:sz w:val="17"/>
        </w:rPr>
        <w:t xml:space="preserve">Report: </w:t>
      </w:r>
      <w:hyperlink r:id="rId25">
        <w:r>
          <w:rPr>
            <w:color w:val="285B9D"/>
            <w:u w:val="single"/>
            <w:rFonts w:eastAsia="Heiti TC" w:ascii="Calibri" w:hAnsi="Calibri"/>
          </w:rPr>
          <w:t>reports/archive-6921ecb4fc86</w:t>
        </w:r>
      </w:hyperlink>
    </w:p>
    <w:p>
      <w:pPr>
        <w:pStyle w:val="Heading1"/>
      </w:pPr>
      <w:r>
        <w:t>5. 证据表</w:t>
      </w:r>
    </w:p>
    <w:tbl>
      <w:tblPr>
        <w:tblW w:type="dxa" w:w="9360"/>
        <w:jc w:val="left"/>
        <w:tblLayout w:type="fixed"/>
        <w:tblLook w:firstColumn="1" w:firstRow="1" w:lastColumn="0" w:lastRow="0" w:noHBand="0" w:noVBand="1" w:val="04A0"/>
      </w:tblPr>
      <w:tblGrid>
        <w:gridCol w:w="3720"/>
        <w:gridCol w:w="1560"/>
        <w:gridCol w:w="1680"/>
        <w:gridCol w:w="900"/>
        <w:gridCol w:w="1500"/>
      </w:tblGrid>
      <w:tr>
        <w:tc>
          <w:tcPr>
            <w:tcW w:type="dxa" w:w="3720"/>
            <w:vAlign w:val="center"/>
            <w:shd w:fill="F2F4F7"/>
          </w:tcPr>
          <w:p>
            <w:pPr>
              <w:spacing w:before="0" w:after="0"/>
              <w:jc w:val="center"/>
            </w:pPr>
            <w:r/>
            <w:r>
              <w:rPr>
                <w:rFonts w:ascii="Calibri" w:hAnsi="Calibri" w:eastAsia="Heiti TC"/>
                <w:b/>
                <w:color w:val="475569"/>
                <w:sz w:val="18"/>
              </w:rPr>
              <w:t>报告</w:t>
            </w:r>
          </w:p>
        </w:tc>
        <w:tc>
          <w:tcPr>
            <w:tcW w:type="dxa" w:w="1560"/>
            <w:vAlign w:val="center"/>
            <w:shd w:fill="F2F4F7"/>
          </w:tcPr>
          <w:p>
            <w:pPr>
              <w:spacing w:before="0" w:after="0"/>
              <w:jc w:val="center"/>
            </w:pPr>
            <w:r/>
            <w:r>
              <w:rPr>
                <w:rFonts w:ascii="Calibri" w:hAnsi="Calibri" w:eastAsia="Heiti TC"/>
                <w:b/>
                <w:color w:val="475569"/>
                <w:sz w:val="18"/>
              </w:rPr>
              <w:t>分析师</w:t>
            </w:r>
          </w:p>
        </w:tc>
        <w:tc>
          <w:tcPr>
            <w:tcW w:type="dxa" w:w="1680"/>
            <w:vAlign w:val="center"/>
            <w:shd w:fill="F2F4F7"/>
          </w:tcPr>
          <w:p>
            <w:pPr>
              <w:spacing w:before="0" w:after="0"/>
              <w:jc w:val="center"/>
            </w:pPr>
            <w:r/>
            <w:r>
              <w:rPr>
                <w:rFonts w:ascii="Calibri" w:hAnsi="Calibri" w:eastAsia="Heiti TC"/>
                <w:b/>
                <w:color w:val="475569"/>
                <w:sz w:val="18"/>
              </w:rPr>
              <w:t>行业链</w:t>
            </w:r>
          </w:p>
        </w:tc>
        <w:tc>
          <w:tcPr>
            <w:tcW w:type="dxa" w:w="900"/>
            <w:vAlign w:val="center"/>
            <w:shd w:fill="F2F4F7"/>
          </w:tcPr>
          <w:p>
            <w:pPr>
              <w:spacing w:before="0" w:after="0"/>
              <w:jc w:val="center"/>
            </w:pPr>
            <w:r/>
            <w:r>
              <w:rPr>
                <w:rFonts w:ascii="Calibri" w:hAnsi="Calibri" w:eastAsia="Heiti TC"/>
                <w:b/>
                <w:color w:val="475569"/>
                <w:sz w:val="18"/>
              </w:rPr>
              <w:t>评分</w:t>
            </w:r>
          </w:p>
        </w:tc>
        <w:tc>
          <w:tcPr>
            <w:tcW w:type="dxa" w:w="1500"/>
            <w:vAlign w:val="center"/>
            <w:shd w:fill="F2F4F7"/>
          </w:tcPr>
          <w:p>
            <w:pPr>
              <w:spacing w:before="0" w:after="0"/>
              <w:jc w:val="center"/>
            </w:pPr>
            <w:r/>
            <w:r>
              <w:rPr>
                <w:rFonts w:ascii="Calibri" w:hAnsi="Calibri" w:eastAsia="Heiti TC"/>
                <w:b/>
                <w:color w:val="475569"/>
                <w:sz w:val="18"/>
              </w:rPr>
              <w:t>风险</w:t>
            </w:r>
          </w:p>
        </w:tc>
      </w:tr>
      <w:tr>
        <w:tc>
          <w:tcPr>
            <w:tcW w:type="dxa" w:w="3720"/>
            <w:vAlign w:val="center"/>
          </w:tcPr>
          <w:p>
            <w:pPr>
              <w:spacing w:before="0" w:after="0"/>
            </w:pPr>
            <w:r/>
            <w:r>
              <w:rPr>
                <w:rFonts w:ascii="Calibri" w:hAnsi="Calibri" w:eastAsia="Heiti TC"/>
                <w:b w:val="0"/>
                <w:color w:val="111827"/>
                <w:sz w:val="17"/>
              </w:rPr>
              <w:t>prior research notes-06-19 — AI 电力交付的电网设备与并网瓶颈验证</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51.9</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能源压力测试：电力市场波动、电网容量与 AI 算力 NPV</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50.8</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能源设备瓶颈与AI电力篮子的压力测试</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49.4</w:t>
            </w:r>
          </w:p>
        </w:tc>
        <w:tc>
          <w:tcPr>
            <w:tcW w:type="dxa" w:w="1500"/>
            <w:vAlign w:val="center"/>
          </w:tcPr>
          <w:p>
            <w:pPr>
              <w:spacing w:before="0" w:after="0"/>
              <w:jc w:val="center"/>
            </w:pPr>
            <w:r/>
            <w:r>
              <w:rPr>
                <w:rFonts w:ascii="Calibri" w:hAnsi="Calibri" w:eastAsia="Heiti TC"/>
                <w:b w:val="0"/>
                <w:color w:val="111827"/>
                <w:sz w:val="16"/>
              </w:rPr>
              <w:t>风险 3</w:t>
            </w:r>
          </w:p>
        </w:tc>
      </w:tr>
      <w:tr>
        <w:tc>
          <w:tcPr>
            <w:tcW w:type="dxa" w:w="3720"/>
            <w:vAlign w:val="center"/>
          </w:tcPr>
          <w:p>
            <w:pPr>
              <w:spacing w:before="0" w:after="0"/>
            </w:pPr>
            <w:r/>
            <w:r>
              <w:rPr>
                <w:rFonts w:ascii="Calibri" w:hAnsi="Calibri" w:eastAsia="Heiti TC"/>
                <w:b w:val="0"/>
                <w:color w:val="111827"/>
                <w:sz w:val="17"/>
              </w:rPr>
              <w:t>公用事业分析师2026-06-19</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48.1</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2026-06-19 — 电气设备制造商：扩产、定价权与利润率持久性</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47.5</w:t>
            </w:r>
          </w:p>
        </w:tc>
        <w:tc>
          <w:tcPr>
            <w:tcW w:type="dxa" w:w="1500"/>
            <w:vAlign w:val="center"/>
          </w:tcPr>
          <w:p>
            <w:pPr>
              <w:spacing w:before="0" w:after="0"/>
              <w:jc w:val="center"/>
            </w:pPr>
            <w:r/>
            <w:r>
              <w:rPr>
                <w:rFonts w:ascii="Calibri" w:hAnsi="Calibri" w:eastAsia="Heiti TC"/>
                <w:b w:val="0"/>
                <w:color w:val="111827"/>
                <w:sz w:val="16"/>
              </w:rPr>
              <w:t>常规</w:t>
            </w:r>
          </w:p>
        </w:tc>
      </w:tr>
      <w:tr>
        <w:tc>
          <w:tcPr>
            <w:tcW w:type="dxa" w:w="3720"/>
            <w:vAlign w:val="center"/>
          </w:tcPr>
          <w:p>
            <w:pPr>
              <w:spacing w:before="0" w:after="0"/>
            </w:pPr>
            <w:r/>
            <w:r>
              <w:rPr>
                <w:rFonts w:ascii="Calibri" w:hAnsi="Calibri" w:eastAsia="Heiti TC"/>
                <w:b w:val="0"/>
                <w:color w:val="111827"/>
                <w:sz w:val="17"/>
              </w:rPr>
              <w:t>AI电网设备短缺对主要CSP及芯片商收入预期的量化影响评估报告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47.0</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监管摩擦、PUC成本分摊与Hyperscaler数据中心通电时间线</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46.1</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已签约兆瓦与已送电兆瓦：AI数据中心建设中的电网与设备供应链瓶颈</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45.8</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电力供应与电网扩容对AI基础设施资本开支的约束力</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45.5</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AI-公用事业哑铃组合在双重冲击下的组合回撤压力测试与风险管理报告</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45.2</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前序研究 — AI电力交付篮子的组合权重：近现金工业制造多头与长久期电力概念空头的再平衡</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工业供给瓶颈</w:t>
            </w:r>
          </w:p>
        </w:tc>
        <w:tc>
          <w:tcPr>
            <w:tcW w:type="dxa" w:w="900"/>
            <w:vAlign w:val="center"/>
          </w:tcPr>
          <w:p>
            <w:pPr>
              <w:spacing w:before="0" w:after="0"/>
              <w:jc w:val="center"/>
            </w:pPr>
            <w:r/>
            <w:r>
              <w:rPr>
                <w:rFonts w:ascii="Calibri" w:hAnsi="Calibri" w:eastAsia="Heiti TC"/>
                <w:b/>
                <w:color w:val="111827"/>
                <w:sz w:val="17"/>
              </w:rPr>
              <w:t>45.0</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前沿模型风险闸门对AI基础设施的影响（工作日：2026-06-19）</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43.6</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RUM 风险评估</w:t>
            </w:r>
          </w:p>
        </w:tc>
        <w:tc>
          <w:tcPr>
            <w:tcW w:type="dxa" w:w="1560"/>
            <w:vAlign w:val="center"/>
          </w:tcPr>
          <w:p>
            <w:pPr>
              <w:spacing w:before="0" w:after="0"/>
            </w:pPr>
            <w:r/>
            <w:r>
              <w:rPr>
                <w:rFonts w:ascii="Calibri" w:hAnsi="Calibri" w:eastAsia="Heiti TC"/>
                <w:b w:val="0"/>
                <w:color w:val="111827"/>
                <w:sz w:val="16"/>
              </w:rPr>
              <w:t>深研主编</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43.2</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RUM 深度报告交叉验证</w:t>
            </w:r>
          </w:p>
        </w:tc>
        <w:tc>
          <w:tcPr>
            <w:tcW w:type="dxa" w:w="1560"/>
            <w:vAlign w:val="center"/>
          </w:tcPr>
          <w:p>
            <w:pPr>
              <w:spacing w:before="0" w:after="0"/>
            </w:pPr>
            <w:r/>
            <w:r>
              <w:rPr>
                <w:rFonts w:ascii="Calibri" w:hAnsi="Calibri" w:eastAsia="Heiti TC"/>
                <w:b w:val="0"/>
                <w:color w:val="111827"/>
                <w:sz w:val="16"/>
              </w:rPr>
              <w:t>深研主编</w:t>
            </w:r>
          </w:p>
        </w:tc>
        <w:tc>
          <w:tcPr>
            <w:tcW w:type="dxa" w:w="1680"/>
            <w:vAlign w:val="center"/>
          </w:tcPr>
          <w:p>
            <w:pPr>
              <w:spacing w:before="0" w:after="0"/>
            </w:pPr>
            <w:r/>
            <w:r>
              <w:rPr>
                <w:rFonts w:ascii="Calibri" w:hAnsi="Calibri" w:eastAsia="Heiti TC"/>
                <w:b w:val="0"/>
                <w:color w:val="111827"/>
                <w:sz w:val="16"/>
              </w:rPr>
              <w:t>AI 基础设施</w:t>
            </w:r>
          </w:p>
        </w:tc>
        <w:tc>
          <w:tcPr>
            <w:tcW w:type="dxa" w:w="900"/>
            <w:vAlign w:val="center"/>
          </w:tcPr>
          <w:p>
            <w:pPr>
              <w:spacing w:before="0" w:after="0"/>
              <w:jc w:val="center"/>
            </w:pPr>
            <w:r/>
            <w:r>
              <w:rPr>
                <w:rFonts w:ascii="Calibri" w:hAnsi="Calibri" w:eastAsia="Heiti TC"/>
                <w:b/>
                <w:color w:val="111827"/>
                <w:sz w:val="17"/>
              </w:rPr>
              <w:t>43.2</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2026-06-19 - 电网与能源设备：AI电力订单背后的收入确认时间风险</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电力与电网</w:t>
            </w:r>
          </w:p>
        </w:tc>
        <w:tc>
          <w:tcPr>
            <w:tcW w:type="dxa" w:w="900"/>
            <w:vAlign w:val="center"/>
          </w:tcPr>
          <w:p>
            <w:pPr>
              <w:spacing w:before="0" w:after="0"/>
              <w:jc w:val="center"/>
            </w:pPr>
            <w:r/>
            <w:r>
              <w:rPr>
                <w:rFonts w:ascii="Calibri" w:hAnsi="Calibri" w:eastAsia="Heiti TC"/>
                <w:b/>
                <w:color w:val="111827"/>
                <w:sz w:val="17"/>
              </w:rPr>
              <w:t>43.0</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prior research notes— 资产配置视角下的AI电力交付多空策略再平衡与下行保护机制</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42.8</w:t>
            </w:r>
          </w:p>
        </w:tc>
        <w:tc>
          <w:tcPr>
            <w:tcW w:type="dxa" w:w="1500"/>
            <w:vAlign w:val="center"/>
          </w:tcPr>
          <w:p>
            <w:pPr>
              <w:spacing w:before="0" w:after="0"/>
              <w:jc w:val="center"/>
            </w:pPr>
            <w:r/>
            <w:r>
              <w:rPr>
                <w:rFonts w:ascii="Calibri" w:hAnsi="Calibri" w:eastAsia="Heiti TC"/>
                <w:b w:val="0"/>
                <w:color w:val="111827"/>
                <w:sz w:val="16"/>
              </w:rPr>
              <w:t>风险 1</w:t>
            </w:r>
          </w:p>
        </w:tc>
      </w:tr>
      <w:tr>
        <w:tc>
          <w:tcPr>
            <w:tcW w:type="dxa" w:w="3720"/>
            <w:vAlign w:val="center"/>
          </w:tcPr>
          <w:p>
            <w:pPr>
              <w:spacing w:before="0" w:after="0"/>
            </w:pPr>
            <w:r/>
            <w:r>
              <w:rPr>
                <w:rFonts w:ascii="Calibri" w:hAnsi="Calibri" w:eastAsia="Heiti TC"/>
                <w:b w:val="0"/>
                <w:color w:val="111827"/>
                <w:sz w:val="17"/>
              </w:rPr>
              <w:t>prior research notes— 美国出口管制扩面对中国碳化硅（SiC）产业链的供应链风险压力测试与技术断...</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42.8</w:t>
            </w:r>
          </w:p>
        </w:tc>
        <w:tc>
          <w:tcPr>
            <w:tcW w:type="dxa" w:w="1500"/>
            <w:vAlign w:val="center"/>
          </w:tcPr>
          <w:p>
            <w:pPr>
              <w:spacing w:before="0" w:after="0"/>
              <w:jc w:val="center"/>
            </w:pPr>
            <w:r/>
            <w:r>
              <w:rPr>
                <w:rFonts w:ascii="Calibri" w:hAnsi="Calibri" w:eastAsia="Heiti TC"/>
                <w:b w:val="0"/>
                <w:color w:val="111827"/>
                <w:sz w:val="16"/>
              </w:rPr>
              <w:t>风险 2</w:t>
            </w:r>
          </w:p>
        </w:tc>
      </w:tr>
      <w:tr>
        <w:tc>
          <w:tcPr>
            <w:tcW w:type="dxa" w:w="3720"/>
            <w:vAlign w:val="center"/>
          </w:tcPr>
          <w:p>
            <w:pPr>
              <w:spacing w:before="0" w:after="0"/>
            </w:pPr>
            <w:r/>
            <w:r>
              <w:rPr>
                <w:rFonts w:ascii="Calibri" w:hAnsi="Calibri" w:eastAsia="Heiti TC"/>
                <w:b w:val="0"/>
                <w:color w:val="111827"/>
                <w:sz w:val="17"/>
              </w:rPr>
              <w:t>2026-06-19 - AI基础设施风险预算：新增资金应买电力稀缺，而不是继续加半导体Beta</w:t>
            </w:r>
          </w:p>
        </w:tc>
        <w:tc>
          <w:tcPr>
            <w:tcW w:type="dxa" w:w="1560"/>
            <w:vAlign w:val="center"/>
          </w:tcPr>
          <w:p>
            <w:pPr>
              <w:spacing w:before="0" w:after="0"/>
            </w:pPr>
            <w:r/>
            <w:r>
              <w:rPr>
                <w:rFonts w:ascii="Calibri" w:hAnsi="Calibri" w:eastAsia="Heiti TC"/>
                <w:b w:val="0"/>
                <w:color w:val="111827"/>
                <w:sz w:val="16"/>
              </w:rPr>
              <w:t>未识别</w:t>
            </w:r>
          </w:p>
        </w:tc>
        <w:tc>
          <w:tcPr>
            <w:tcW w:type="dxa" w:w="1680"/>
            <w:vAlign w:val="center"/>
          </w:tcPr>
          <w:p>
            <w:pPr>
              <w:spacing w:before="0" w:after="0"/>
            </w:pPr>
            <w:r/>
            <w:r>
              <w:rPr>
                <w:rFonts w:ascii="Calibri" w:hAnsi="Calibri" w:eastAsia="Heiti TC"/>
                <w:b w:val="0"/>
                <w:color w:val="111827"/>
                <w:sz w:val="16"/>
              </w:rPr>
              <w:t>宏观通胀传导</w:t>
            </w:r>
          </w:p>
        </w:tc>
        <w:tc>
          <w:tcPr>
            <w:tcW w:type="dxa" w:w="900"/>
            <w:vAlign w:val="center"/>
          </w:tcPr>
          <w:p>
            <w:pPr>
              <w:spacing w:before="0" w:after="0"/>
              <w:jc w:val="center"/>
            </w:pPr>
            <w:r/>
            <w:r>
              <w:rPr>
                <w:rFonts w:ascii="Calibri" w:hAnsi="Calibri" w:eastAsia="Heiti TC"/>
                <w:b/>
                <w:color w:val="111827"/>
                <w:sz w:val="17"/>
              </w:rPr>
              <w:t>42.7</w:t>
            </w:r>
          </w:p>
        </w:tc>
        <w:tc>
          <w:tcPr>
            <w:tcW w:type="dxa" w:w="1500"/>
            <w:vAlign w:val="center"/>
          </w:tcPr>
          <w:p>
            <w:pPr>
              <w:spacing w:before="0" w:after="0"/>
              <w:jc w:val="center"/>
            </w:pPr>
            <w:r/>
            <w:r>
              <w:rPr>
                <w:rFonts w:ascii="Calibri" w:hAnsi="Calibri" w:eastAsia="Heiti TC"/>
                <w:b w:val="0"/>
                <w:color w:val="111827"/>
                <w:sz w:val="16"/>
              </w:rPr>
              <w:t>风险 1</w:t>
            </w:r>
          </w:p>
        </w:tc>
      </w:tr>
    </w:tbl>
    <w:p>
      <w:pPr>
        <w:spacing w:before="0" w:after="160" w:line="264" w:lineRule="auto"/>
      </w:pPr>
      <w:r>
        <w:rPr>
          <w:rFonts w:ascii="Calibri" w:hAnsi="Calibri" w:eastAsia="Heiti TC"/>
          <w:b w:val="0"/>
          <w:i/>
          <w:color w:val="667085"/>
          <w:sz w:val="17"/>
        </w:rPr>
        <w:t>Table 1. Evidence table excerpt. Full evidence remains available in the interactive daily brief.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Heiti TC"/>
        <w:color w:val="667085"/>
        <w:sz w:val="17"/>
      </w:rPr>
      <w:t>Generated from local AI Institute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Heiti TC"/>
        <w:color w:val="667085"/>
        <w:sz w:val="18"/>
      </w:rPr>
      <w:t>AI Institute Daily Investor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Heiti TC"/>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Heiti T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Heiti T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Heiti T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Heiti TC"/>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Heiti TC"/>
      <w:b w:val="0"/>
      <w:i/>
      <w:iCs/>
      <w:color w:val="47556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reports/archive-ed74991c0bf1" TargetMode="External"/><Relationship Id="rId13" Type="http://schemas.openxmlformats.org/officeDocument/2006/relationships/hyperlink" Target="reports/archive-6984a39e382c" TargetMode="External"/><Relationship Id="rId14" Type="http://schemas.openxmlformats.org/officeDocument/2006/relationships/hyperlink" Target="reports/archive-33f6ee64452b"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reports/archive-1e8b5e99f12f" TargetMode="External"/><Relationship Id="rId20" Type="http://schemas.openxmlformats.org/officeDocument/2006/relationships/hyperlink" Target="reports/archive-66ba3c570dd6" TargetMode="External"/><Relationship Id="rId21" Type="http://schemas.openxmlformats.org/officeDocument/2006/relationships/hyperlink" Target="reports/archive-4e44fac4b71a" TargetMode="External"/><Relationship Id="rId22" Type="http://schemas.openxmlformats.org/officeDocument/2006/relationships/hyperlink" Target="reports/archive-381b0c8206a8" TargetMode="External"/><Relationship Id="rId23" Type="http://schemas.openxmlformats.org/officeDocument/2006/relationships/hyperlink" Target="reports/archive-8675ea7a9eaf" TargetMode="External"/><Relationship Id="rId24" Type="http://schemas.openxmlformats.org/officeDocument/2006/relationships/hyperlink" Target="reports/archive-9906cc6fde45" TargetMode="External"/><Relationship Id="rId25" Type="http://schemas.openxmlformats.org/officeDocument/2006/relationships/hyperlink" Target="reports/archive-6921ecb4fc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Institute Daily Brief 2026-06-19</dc:title>
  <dc:subject>Daily investor research brief</dc:subject>
  <dc:creator>AI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