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Calibri" w:hAnsi="Calibri" w:eastAsia="Arial Unicode MS"/>
          <w:b/>
          <w:i w:val="0"/>
          <w:color w:val="285B9D"/>
          <w:sz w:val="20"/>
        </w:rPr>
        <w:t>AI Institute</w:t>
      </w:r>
    </w:p>
    <w:p>
      <w:pPr>
        <w:pStyle w:val="Title"/>
        <w:spacing w:before="0" w:after="80" w:line="264" w:lineRule="auto"/>
      </w:pPr>
      <w:r>
        <w:rPr>
          <w:rFonts w:ascii="Calibri" w:hAnsi="Calibri" w:eastAsia="Arial Unicode MS"/>
          <w:b w:val="0"/>
          <w:i w:val="0"/>
        </w:rPr>
        <w:t>每日投资研究简报</w:t>
      </w:r>
    </w:p>
    <w:p>
      <w:pPr>
        <w:pStyle w:val="Subtitle"/>
        <w:spacing w:before="0" w:after="240" w:line="264" w:lineRule="auto"/>
      </w:pPr>
      <w:r>
        <w:rPr>
          <w:rFonts w:ascii="Calibri" w:hAnsi="Calibri" w:eastAsia="Arial Unicode MS"/>
          <w:b w:val="0"/>
          <w:i w:val="0"/>
        </w:rPr>
        <w:t>2026-07-20 · webpage screenshot DOCX edition</w:t>
      </w:r>
    </w:p>
    <w:p>
      <w:pPr>
        <w:spacing w:before="0" w:after="160" w:line="264" w:lineRule="auto"/>
      </w:pPr>
      <w:r>
        <w:rPr>
          <w:rFonts w:ascii="Calibri" w:hAnsi="Calibri" w:eastAsia="Arial Unicode MS"/>
          <w:b/>
          <w:i w:val="0"/>
          <w:color w:val="0B2545"/>
          <w:sz w:val="34"/>
        </w:rPr>
        <w:t>宏观通胀传导仍是今日主线，AI 基础设施提供第二层验证。</w:t>
      </w:r>
    </w:p>
    <w:p>
      <w:pPr>
        <w:spacing w:before="0" w:after="240" w:line="264" w:lineRule="auto"/>
      </w:pPr>
      <w:r>
        <w:rPr>
          <w:rFonts w:ascii="Calibri" w:hAnsi="Calibri" w:eastAsia="Arial Unicode MS"/>
          <w:b w:val="0"/>
          <w:i w:val="0"/>
          <w:color w:val="334155"/>
          <w:sz w:val="22"/>
        </w:rPr>
        <w:t>2026-07-20 共纳入 295 篇中文研究结果，覆盖 0 位活跃分析师和 6 条主要行业链，较 2026-07-19 的主题变化可在右侧动量表中核对。简报优先呈现可被报告链接追溯的结论，而不是孤立摘要。</w:t>
      </w:r>
    </w:p>
    <w:tbl>
      <w:tblPr>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shd w:fill="F8FAFC"/>
          </w:tcPr>
          <w:p>
            <w:pPr>
              <w:spacing w:after="40"/>
            </w:pPr>
            <w:r>
              <w:rPr>
                <w:rFonts w:ascii="Calibri" w:hAnsi="Calibri" w:eastAsia="Arial Unicode MS"/>
                <w:b/>
                <w:color w:val="667085"/>
                <w:sz w:val="17"/>
              </w:rPr>
              <w:t>今日报告</w:t>
              <w:br/>
            </w:r>
            <w:r>
              <w:rPr>
                <w:rFonts w:ascii="Calibri" w:hAnsi="Calibri" w:eastAsia="Arial Unicode MS"/>
                <w:b/>
                <w:color w:val="285B9D"/>
                <w:sz w:val="36"/>
              </w:rPr>
              <w:t>295</w:t>
            </w:r>
          </w:p>
        </w:tc>
        <w:tc>
          <w:tcPr>
            <w:tcW w:type="dxa" w:w="2340"/>
            <w:vAlign w:val="center"/>
            <w:shd w:fill="F8FAFC"/>
          </w:tcPr>
          <w:p>
            <w:pPr>
              <w:spacing w:after="40"/>
            </w:pPr>
            <w:r>
              <w:rPr>
                <w:rFonts w:ascii="Calibri" w:hAnsi="Calibri" w:eastAsia="Arial Unicode MS"/>
                <w:b/>
                <w:color w:val="667085"/>
                <w:sz w:val="17"/>
              </w:rPr>
              <w:t>活跃分析师</w:t>
              <w:br/>
            </w:r>
            <w:r>
              <w:rPr>
                <w:rFonts w:ascii="Calibri" w:hAnsi="Calibri" w:eastAsia="Arial Unicode MS"/>
                <w:b/>
                <w:color w:val="237A5B"/>
                <w:sz w:val="36"/>
              </w:rPr>
              <w:t>0</w:t>
            </w:r>
          </w:p>
        </w:tc>
        <w:tc>
          <w:tcPr>
            <w:tcW w:type="dxa" w:w="2340"/>
            <w:vAlign w:val="center"/>
            <w:shd w:fill="F8FAFC"/>
          </w:tcPr>
          <w:p>
            <w:pPr>
              <w:spacing w:after="40"/>
            </w:pPr>
            <w:r>
              <w:rPr>
                <w:rFonts w:ascii="Calibri" w:hAnsi="Calibri" w:eastAsia="Arial Unicode MS"/>
                <w:b/>
                <w:color w:val="667085"/>
                <w:sz w:val="17"/>
              </w:rPr>
              <w:t>活跃链条</w:t>
              <w:br/>
            </w:r>
            <w:r>
              <w:rPr>
                <w:rFonts w:ascii="Calibri" w:hAnsi="Calibri" w:eastAsia="Arial Unicode MS"/>
                <w:b/>
                <w:color w:val="A8731B"/>
                <w:sz w:val="36"/>
              </w:rPr>
              <w:t>6</w:t>
            </w:r>
          </w:p>
        </w:tc>
        <w:tc>
          <w:tcPr>
            <w:tcW w:type="dxa" w:w="2340"/>
            <w:vAlign w:val="center"/>
            <w:shd w:fill="F8FAFC"/>
          </w:tcPr>
          <w:p>
            <w:pPr>
              <w:spacing w:after="40"/>
            </w:pPr>
            <w:r>
              <w:rPr>
                <w:rFonts w:ascii="Calibri" w:hAnsi="Calibri" w:eastAsia="Arial Unicode MS"/>
                <w:b/>
                <w:color w:val="667085"/>
                <w:sz w:val="17"/>
              </w:rPr>
              <w:t>风险信号</w:t>
              <w:br/>
            </w:r>
            <w:r>
              <w:rPr>
                <w:rFonts w:ascii="Calibri" w:hAnsi="Calibri" w:eastAsia="Arial Unicode MS"/>
                <w:b/>
                <w:color w:val="B43D49"/>
                <w:sz w:val="36"/>
              </w:rPr>
              <w:t>16</w:t>
            </w:r>
          </w:p>
        </w:tc>
      </w:tr>
    </w:tbl>
    <w:p>
      <w:pPr>
        <w:spacing w:before="0" w:after="160" w:line="264" w:lineRule="auto"/>
      </w:pPr>
    </w:p>
    <w:p>
      <w:pPr>
        <w:spacing w:before="40" w:after="60"/>
        <w:jc w:val="center"/>
      </w:pPr>
      <w:r>
        <w:drawing>
          <wp:inline xmlns:a="http://schemas.openxmlformats.org/drawingml/2006/main" xmlns:pic="http://schemas.openxmlformats.org/drawingml/2006/picture">
            <wp:extent cx="5806440" cy="3870960"/>
            <wp:docPr id="1" name="Picture 1"/>
            <wp:cNvGraphicFramePr>
              <a:graphicFrameLocks noChangeAspect="1"/>
            </wp:cNvGraphicFramePr>
            <a:graphic>
              <a:graphicData uri="http://schemas.openxmlformats.org/drawingml/2006/picture">
                <pic:pic>
                  <pic:nvPicPr>
                    <pic:cNvPr id="0" name="daily-brief-2026-07-20-web-summary.png"/>
                    <pic:cNvPicPr/>
                  </pic:nvPicPr>
                  <pic:blipFill>
                    <a:blip r:embed="rId11"/>
                    <a:stretch>
                      <a:fillRect/>
                    </a:stretch>
                  </pic:blipFill>
                  <pic:spPr>
                    <a:xfrm>
                      <a:off x="0" y="0"/>
                      <a:ext cx="5806440" cy="3870960"/>
                    </a:xfrm>
                    <a:prstGeom prst="rect"/>
                  </pic:spPr>
                </pic:pic>
              </a:graphicData>
            </a:graphic>
          </wp:inline>
        </w:drawing>
      </w:r>
    </w:p>
    <w:p>
      <w:pPr>
        <w:keepNext w:val="0"/>
        <w:spacing w:before="0" w:after="200" w:line="264" w:lineRule="auto"/>
        <w:jc w:val="center"/>
      </w:pPr>
      <w:r>
        <w:rPr>
          <w:rFonts w:ascii="Calibri" w:hAnsi="Calibri" w:eastAsia="Arial Unicode MS"/>
          <w:b w:val="0"/>
          <w:i/>
          <w:color w:val="667085"/>
          <w:sz w:val="17"/>
        </w:rPr>
        <w:t>Figure 1. Webpage snapshot of the daily synthesis and key operating metrics.</w:t>
      </w:r>
    </w:p>
    <w:p>
      <w:pPr>
        <w:pStyle w:val="Heading1"/>
      </w:pPr>
      <w:r>
        <w:t>1. 综合研判</w:t>
      </w:r>
    </w:p>
    <w:p>
      <w:pPr>
        <w:spacing w:after="140"/>
        <w:ind w:left="259" w:hanging="259"/>
      </w:pPr>
      <w:r>
        <w:rPr>
          <w:rFonts w:ascii="Calibri" w:hAnsi="Calibri" w:eastAsia="Arial Unicode MS"/>
          <w:b/>
          <w:color w:val="285B9D"/>
          <w:sz w:val="21"/>
        </w:rPr>
        <w:t xml:space="preserve">主线判断: </w:t>
      </w:r>
      <w:hyperlink r:id="rId12">
        <w:r>
          <w:rPr>
            <w:color w:val="285B9D"/>
            <w:u w:val="single"/>
            <w:rFonts w:eastAsia="Arial Unicode MS" w:ascii="Calibri" w:hAnsi="Calibri"/>
          </w:rPr>
          <w:t>策略工作日期 2026-07-20 是今日最高权重结论，核心证据来自 未识别，关联 电力与电网。</w:t>
        </w:r>
      </w:hyperlink>
    </w:p>
    <w:p>
      <w:pPr>
        <w:spacing w:after="140"/>
        <w:ind w:left="259" w:hanging="259"/>
      </w:pPr>
      <w:r>
        <w:rPr>
          <w:rFonts w:ascii="Calibri" w:hAnsi="Calibri" w:eastAsia="Arial Unicode MS"/>
          <w:b/>
          <w:color w:val="285B9D"/>
          <w:sz w:val="21"/>
        </w:rPr>
        <w:t xml:space="preserve">变化信号: </w:t>
      </w:r>
      <w:r>
        <w:rPr>
          <w:rFonts w:ascii="Calibri" w:hAnsi="Calibri" w:eastAsia="Arial Unicode MS"/>
          <w:color w:val="111827"/>
          <w:sz w:val="21"/>
        </w:rPr>
        <w:t>能源 今日 降温，当日计数 137，前一日计数 175。</w:t>
      </w:r>
    </w:p>
    <w:p>
      <w:pPr>
        <w:spacing w:after="140"/>
        <w:ind w:left="259" w:hanging="259"/>
      </w:pPr>
      <w:r>
        <w:rPr>
          <w:rFonts w:ascii="Calibri" w:hAnsi="Calibri" w:eastAsia="Arial Unicode MS"/>
          <w:b/>
          <w:color w:val="285B9D"/>
          <w:sz w:val="21"/>
        </w:rPr>
        <w:t xml:space="preserve">风险焦点: </w:t>
      </w:r>
      <w:hyperlink r:id="rId13">
        <w:r>
          <w:rPr>
            <w:color w:val="285B9D"/>
            <w:u w:val="single"/>
            <w:rFonts w:eastAsia="Arial Unicode MS" w:ascii="Calibri" w:hAnsi="Calibri"/>
          </w:rPr>
          <w:t>风险矩阵最需要跟踪的是 AI 基础设施：AI 电力篮子相关性风险：公用事业分析师研究记录，2026-07-19。</w:t>
        </w:r>
      </w:hyperlink>
    </w:p>
    <w:p>
      <w:pPr>
        <w:spacing w:after="140"/>
        <w:ind w:left="259" w:hanging="259"/>
      </w:pPr>
      <w:r>
        <w:rPr>
          <w:rFonts w:ascii="Calibri" w:hAnsi="Calibri" w:eastAsia="Arial Unicode MS"/>
          <w:b/>
          <w:color w:val="285B9D"/>
          <w:sz w:val="21"/>
        </w:rPr>
        <w:t xml:space="preserve">证据密度: </w:t>
      </w:r>
      <w:hyperlink r:id="rId14">
        <w:r>
          <w:rPr>
            <w:color w:val="285B9D"/>
            <w:u w:val="single"/>
            <w:rFonts w:eastAsia="Arial Unicode MS" w:ascii="Calibri" w:hAnsi="Calibri"/>
          </w:rPr>
          <w:t>宏观通胀传导 今日 271 条、近七日 1860 条，风险信号 1201 条。</w:t>
        </w:r>
      </w:hyperlink>
    </w:p>
    <w:tbl>
      <w:tblPr>
        <w:tblW w:type="dxa" w:w="9360"/>
        <w:jc w:val="left"/>
        <w:tblLayout w:type="fixed"/>
        <w:tblLook w:firstColumn="1" w:firstRow="1" w:lastColumn="0" w:lastRow="0" w:noHBand="0" w:noVBand="1" w:val="04A0"/>
      </w:tblPr>
      <w:tblGrid>
        <w:gridCol w:w="9360"/>
      </w:tblGrid>
      <w:tr>
        <w:tc>
          <w:tcPr>
            <w:tcW w:type="dxa" w:w="9360"/>
            <w:vAlign w:val="center"/>
            <w:shd w:fill="FFF7E6"/>
          </w:tcPr>
          <w:p>
            <w:r>
              <w:rPr>
                <w:rFonts w:ascii="Calibri" w:hAnsi="Calibri" w:eastAsia="Arial Unicode MS"/>
                <w:b/>
                <w:color w:val="7A5A00"/>
                <w:sz w:val="21"/>
              </w:rPr>
              <w:t xml:space="preserve">投资解读: </w:t>
            </w:r>
            <w:r>
              <w:rPr>
                <w:rFonts w:ascii="Calibri" w:hAnsi="Calibri" w:eastAsia="Arial Unicode MS"/>
                <w:color w:val="7C2D12"/>
                <w:sz w:val="21"/>
              </w:rPr>
              <w:t>投资含义上，本日简报更适合作为主题和风险筛选器：先看行业链雷达确认资金关注方向，再用风险矩阵排除证据不足或约束过强的交易表达。</w:t>
            </w:r>
          </w:p>
        </w:tc>
      </w:tr>
    </w:tbl>
    <w:p>
      <w:pPr>
        <w:spacing w:before="0" w:after="120" w:line="264" w:lineRule="auto"/>
      </w:pPr>
    </w:p>
    <w:p>
      <w:pPr>
        <w:pStyle w:val="Heading1"/>
      </w:pPr>
      <w:r>
        <w:t>2. 可视化仪表板</w:t>
      </w:r>
    </w:p>
    <w:p>
      <w:pPr>
        <w:spacing w:before="40" w:after="60"/>
        <w:jc w:val="center"/>
      </w:pPr>
      <w:r>
        <w:drawing>
          <wp:inline xmlns:a="http://schemas.openxmlformats.org/drawingml/2006/main" xmlns:pic="http://schemas.openxmlformats.org/drawingml/2006/picture">
            <wp:extent cx="5806440" cy="3870960"/>
            <wp:docPr id="2" name="Picture 2"/>
            <wp:cNvGraphicFramePr>
              <a:graphicFrameLocks noChangeAspect="1"/>
            </wp:cNvGraphicFramePr>
            <a:graphic>
              <a:graphicData uri="http://schemas.openxmlformats.org/drawingml/2006/picture">
                <pic:pic>
                  <pic:nvPicPr>
                    <pic:cNvPr id="0" name="daily-brief-2026-07-20-web-trend.png"/>
                    <pic:cNvPicPr/>
                  </pic:nvPicPr>
                  <pic:blipFill>
                    <a:blip r:embed="rId15"/>
                    <a:stretch>
                      <a:fillRect/>
                    </a:stretch>
                  </pic:blipFill>
                  <pic:spPr>
                    <a:xfrm>
                      <a:off x="0" y="0"/>
                      <a:ext cx="5806440" cy="3870960"/>
                    </a:xfrm>
                    <a:prstGeom prst="rect"/>
                  </pic:spPr>
                </pic:pic>
              </a:graphicData>
            </a:graphic>
          </wp:inline>
        </w:drawing>
      </w:r>
    </w:p>
    <w:p>
      <w:pPr>
        <w:keepNext w:val="0"/>
        <w:spacing w:before="0" w:after="200" w:line="264" w:lineRule="auto"/>
        <w:jc w:val="center"/>
      </w:pPr>
      <w:r>
        <w:rPr>
          <w:rFonts w:ascii="Calibri" w:hAnsi="Calibri" w:eastAsia="Arial Unicode MS"/>
          <w:b w:val="0"/>
          <w:i/>
          <w:color w:val="667085"/>
          <w:sz w:val="17"/>
        </w:rPr>
        <w:t>Figure 2. Webpage snapshot of topic momentum and daily change signals.</w:t>
      </w:r>
    </w:p>
    <w:p>
      <w:pPr>
        <w:spacing w:before="40" w:after="60"/>
        <w:jc w:val="center"/>
      </w:pPr>
      <w:r>
        <w:drawing>
          <wp:inline xmlns:a="http://schemas.openxmlformats.org/drawingml/2006/main" xmlns:pic="http://schemas.openxmlformats.org/drawingml/2006/picture">
            <wp:extent cx="5806440" cy="3870960"/>
            <wp:docPr id="3" name="Picture 3"/>
            <wp:cNvGraphicFramePr>
              <a:graphicFrameLocks noChangeAspect="1"/>
            </wp:cNvGraphicFramePr>
            <a:graphic>
              <a:graphicData uri="http://schemas.openxmlformats.org/drawingml/2006/picture">
                <pic:pic>
                  <pic:nvPicPr>
                    <pic:cNvPr id="0" name="daily-brief-2026-07-20-web-chains.png"/>
                    <pic:cNvPicPr/>
                  </pic:nvPicPr>
                  <pic:blipFill>
                    <a:blip r:embed="rId16"/>
                    <a:stretch>
                      <a:fillRect/>
                    </a:stretch>
                  </pic:blipFill>
                  <pic:spPr>
                    <a:xfrm>
                      <a:off x="0" y="0"/>
                      <a:ext cx="5806440" cy="3870960"/>
                    </a:xfrm>
                    <a:prstGeom prst="rect"/>
                  </pic:spPr>
                </pic:pic>
              </a:graphicData>
            </a:graphic>
          </wp:inline>
        </w:drawing>
      </w:r>
    </w:p>
    <w:p>
      <w:pPr>
        <w:keepNext w:val="0"/>
        <w:spacing w:before="0" w:after="200" w:line="264" w:lineRule="auto"/>
        <w:jc w:val="center"/>
      </w:pPr>
      <w:r>
        <w:rPr>
          <w:rFonts w:ascii="Calibri" w:hAnsi="Calibri" w:eastAsia="Arial Unicode MS"/>
          <w:b w:val="0"/>
          <w:i/>
          <w:color w:val="667085"/>
          <w:sz w:val="17"/>
        </w:rPr>
        <w:t>Figure 3. Webpage snapshot of industry-chain heat and evidence links.</w:t>
      </w:r>
    </w:p>
    <w:p>
      <w:r>
        <w:br w:type="page"/>
      </w:r>
    </w:p>
    <w:p>
      <w:pPr>
        <w:spacing w:before="40" w:after="60"/>
        <w:jc w:val="center"/>
      </w:pPr>
      <w:r>
        <w:drawing>
          <wp:inline xmlns:a="http://schemas.openxmlformats.org/drawingml/2006/main" xmlns:pic="http://schemas.openxmlformats.org/drawingml/2006/picture">
            <wp:extent cx="5806440" cy="3870960"/>
            <wp:docPr id="4" name="Picture 4"/>
            <wp:cNvGraphicFramePr>
              <a:graphicFrameLocks noChangeAspect="1"/>
            </wp:cNvGraphicFramePr>
            <a:graphic>
              <a:graphicData uri="http://schemas.openxmlformats.org/drawingml/2006/picture">
                <pic:pic>
                  <pic:nvPicPr>
                    <pic:cNvPr id="0" name="daily-brief-2026-07-20-web-risk.png"/>
                    <pic:cNvPicPr/>
                  </pic:nvPicPr>
                  <pic:blipFill>
                    <a:blip r:embed="rId17"/>
                    <a:stretch>
                      <a:fillRect/>
                    </a:stretch>
                  </pic:blipFill>
                  <pic:spPr>
                    <a:xfrm>
                      <a:off x="0" y="0"/>
                      <a:ext cx="5806440" cy="3870960"/>
                    </a:xfrm>
                    <a:prstGeom prst="rect"/>
                  </pic:spPr>
                </pic:pic>
              </a:graphicData>
            </a:graphic>
          </wp:inline>
        </w:drawing>
      </w:r>
    </w:p>
    <w:p>
      <w:pPr>
        <w:keepNext w:val="0"/>
        <w:spacing w:before="0" w:after="200" w:line="264" w:lineRule="auto"/>
        <w:jc w:val="center"/>
      </w:pPr>
      <w:r>
        <w:rPr>
          <w:rFonts w:ascii="Calibri" w:hAnsi="Calibri" w:eastAsia="Arial Unicode MS"/>
          <w:b w:val="0"/>
          <w:i/>
          <w:color w:val="667085"/>
          <w:sz w:val="17"/>
        </w:rPr>
        <w:t>Figure 4. Webpage snapshot of the risk matrix and pressure-test items.</w:t>
      </w:r>
    </w:p>
    <w:p>
      <w:r>
        <w:br w:type="page"/>
      </w:r>
    </w:p>
    <w:p>
      <w:pPr>
        <w:spacing w:before="40" w:after="60"/>
        <w:jc w:val="center"/>
      </w:pPr>
      <w:r>
        <w:drawing>
          <wp:inline xmlns:a="http://schemas.openxmlformats.org/drawingml/2006/main" xmlns:pic="http://schemas.openxmlformats.org/drawingml/2006/picture">
            <wp:extent cx="5806440" cy="3870960"/>
            <wp:docPr id="5" name="Picture 5"/>
            <wp:cNvGraphicFramePr>
              <a:graphicFrameLocks noChangeAspect="1"/>
            </wp:cNvGraphicFramePr>
            <a:graphic>
              <a:graphicData uri="http://schemas.openxmlformats.org/drawingml/2006/picture">
                <pic:pic>
                  <pic:nvPicPr>
                    <pic:cNvPr id="0" name="daily-brief-2026-07-20-web-heatmap.png"/>
                    <pic:cNvPicPr/>
                  </pic:nvPicPr>
                  <pic:blipFill>
                    <a:blip r:embed="rId18"/>
                    <a:stretch>
                      <a:fillRect/>
                    </a:stretch>
                  </pic:blipFill>
                  <pic:spPr>
                    <a:xfrm>
                      <a:off x="0" y="0"/>
                      <a:ext cx="5806440" cy="3870960"/>
                    </a:xfrm>
                    <a:prstGeom prst="rect"/>
                  </pic:spPr>
                </pic:pic>
              </a:graphicData>
            </a:graphic>
          </wp:inline>
        </w:drawing>
      </w:r>
    </w:p>
    <w:p>
      <w:pPr>
        <w:keepNext w:val="0"/>
        <w:spacing w:before="0" w:after="200" w:line="264" w:lineRule="auto"/>
        <w:jc w:val="center"/>
      </w:pPr>
      <w:r>
        <w:rPr>
          <w:rFonts w:ascii="Calibri" w:hAnsi="Calibri" w:eastAsia="Arial Unicode MS"/>
          <w:b w:val="0"/>
          <w:i/>
          <w:color w:val="667085"/>
          <w:sz w:val="17"/>
        </w:rPr>
        <w:t>Figure 5. Webpage snapshot of analyst activity and ranked conclusions.</w:t>
      </w:r>
    </w:p>
    <w:p>
      <w:pPr>
        <w:pStyle w:val="Heading1"/>
      </w:pPr>
      <w:r>
        <w:t>3. 今日核心结论</w:t>
      </w:r>
    </w:p>
    <w:p>
      <w:pPr>
        <w:spacing w:before="0" w:after="40" w:line="264" w:lineRule="auto"/>
      </w:pPr>
      <w:r>
        <w:rPr>
          <w:rFonts w:ascii="Calibri" w:hAnsi="Calibri" w:eastAsia="Arial Unicode MS"/>
          <w:b/>
          <w:i w:val="0"/>
          <w:color w:val="0B2545"/>
          <w:sz w:val="23"/>
        </w:rPr>
        <w:t>1. 策略工作日期 2026-07-20</w:t>
      </w:r>
    </w:p>
    <w:p>
      <w:pPr>
        <w:spacing w:before="0" w:after="40" w:line="264" w:lineRule="auto"/>
      </w:pPr>
      <w:r>
        <w:rPr>
          <w:rFonts w:ascii="Calibri" w:hAnsi="Calibri" w:eastAsia="Arial Unicode MS"/>
          <w:b w:val="0"/>
          <w:i w:val="0"/>
          <w:color w:val="667085"/>
          <w:sz w:val="17"/>
        </w:rPr>
        <w:t>未识别 · 电力与电网 · score 52.0</w:t>
      </w:r>
    </w:p>
    <w:p>
      <w:pPr>
        <w:spacing w:before="0" w:after="100" w:line="264" w:lineRule="auto"/>
      </w:pPr>
      <w:r>
        <w:rPr>
          <w:rFonts w:ascii="Calibri" w:hAnsi="Calibri" w:eastAsia="Arial Unicode MS"/>
          <w:b w:val="0"/>
          <w:i w:val="0"/>
          <w:color w:val="334155"/>
          <w:sz w:val="20"/>
        </w:rPr>
        <w:t>所选分析师： global-macro 所选主题：AI电力与电网瓶颈对中国高硬科技与电网设备链的出口拉动与宏观传导 研究问题：当全球电网设备面临1.4万亿美元的设备通胀型Capex周期与长并网等待时，中国...</w:t>
      </w:r>
    </w:p>
    <w:p>
      <w:pPr>
        <w:spacing w:before="0" w:after="160" w:line="264" w:lineRule="auto"/>
      </w:pPr>
      <w:r>
        <w:rPr>
          <w:rFonts w:ascii="Calibri" w:hAnsi="Calibri" w:eastAsia="Arial Unicode MS"/>
          <w:b w:val="0"/>
          <w:i w:val="0"/>
          <w:color w:val="667085"/>
          <w:sz w:val="17"/>
        </w:rPr>
        <w:t xml:space="preserve">Report: </w:t>
      </w:r>
      <w:hyperlink r:id="rId12">
        <w:r>
          <w:rPr>
            <w:color w:val="285B9D"/>
            <w:u w:val="single"/>
            <w:rFonts w:eastAsia="Arial Unicode MS" w:ascii="Calibri" w:hAnsi="Calibri"/>
          </w:rPr>
          <w:t>reports/archive-aacf648641e0</w:t>
        </w:r>
      </w:hyperlink>
    </w:p>
    <w:p>
      <w:pPr>
        <w:spacing w:before="0" w:after="40" w:line="264" w:lineRule="auto"/>
      </w:pPr>
      <w:r>
        <w:rPr>
          <w:rFonts w:ascii="Calibri" w:hAnsi="Calibri" w:eastAsia="Arial Unicode MS"/>
          <w:b/>
          <w:i w:val="0"/>
          <w:color w:val="0B2545"/>
          <w:sz w:val="23"/>
        </w:rPr>
        <w:t>2. AI基础设施工作日期 2026-07-20</w:t>
      </w:r>
    </w:p>
    <w:p>
      <w:pPr>
        <w:spacing w:before="0" w:after="40" w:line="264" w:lineRule="auto"/>
      </w:pPr>
      <w:r>
        <w:rPr>
          <w:rFonts w:ascii="Calibri" w:hAnsi="Calibri" w:eastAsia="Arial Unicode MS"/>
          <w:b w:val="0"/>
          <w:i w:val="0"/>
          <w:color w:val="667085"/>
          <w:sz w:val="17"/>
        </w:rPr>
        <w:t>未识别 · AI 基础设施 · score 50.5</w:t>
      </w:r>
    </w:p>
    <w:p>
      <w:pPr>
        <w:spacing w:before="0" w:after="100" w:line="264" w:lineRule="auto"/>
      </w:pPr>
      <w:r>
        <w:rPr>
          <w:rFonts w:ascii="Calibri" w:hAnsi="Calibri" w:eastAsia="Arial Unicode MS"/>
          <w:b w:val="0"/>
          <w:i w:val="0"/>
          <w:color w:val="334155"/>
          <w:sz w:val="20"/>
        </w:rPr>
        <w:t>所选分析师： ai-infrastructure-analyst 所选主题：AI数据中心电力瓶颈与算力增长重估 研究问题：电力接入是否已经成为美国AI基础设施扩张的关键约束？</w:t>
      </w:r>
    </w:p>
    <w:p>
      <w:pPr>
        <w:spacing w:before="0" w:after="160" w:line="264" w:lineRule="auto"/>
      </w:pPr>
      <w:r>
        <w:rPr>
          <w:rFonts w:ascii="Calibri" w:hAnsi="Calibri" w:eastAsia="Arial Unicode MS"/>
          <w:b w:val="0"/>
          <w:i w:val="0"/>
          <w:color w:val="667085"/>
          <w:sz w:val="17"/>
        </w:rPr>
        <w:t xml:space="preserve">Report: </w:t>
      </w:r>
      <w:hyperlink r:id="rId19">
        <w:r>
          <w:rPr>
            <w:color w:val="285B9D"/>
            <w:u w:val="single"/>
            <w:rFonts w:eastAsia="Arial Unicode MS" w:ascii="Calibri" w:hAnsi="Calibri"/>
          </w:rPr>
          <w:t>reports/archive-778da304d57a</w:t>
        </w:r>
      </w:hyperlink>
    </w:p>
    <w:p>
      <w:pPr>
        <w:spacing w:before="0" w:after="40" w:line="264" w:lineRule="auto"/>
      </w:pPr>
      <w:r>
        <w:rPr>
          <w:rFonts w:ascii="Calibri" w:hAnsi="Calibri" w:eastAsia="Arial Unicode MS"/>
          <w:b/>
          <w:i w:val="0"/>
          <w:color w:val="0B2545"/>
          <w:sz w:val="23"/>
        </w:rPr>
        <w:t>3. 2026-07-20 — 美国更高终端利率与全球电网设备短缺对中国的双向传导：人民币约束、政策空间与A股...</w:t>
      </w:r>
    </w:p>
    <w:p>
      <w:pPr>
        <w:spacing w:before="0" w:after="40" w:line="264" w:lineRule="auto"/>
      </w:pPr>
      <w:r>
        <w:rPr>
          <w:rFonts w:ascii="Calibri" w:hAnsi="Calibri" w:eastAsia="Arial Unicode MS"/>
          <w:b w:val="0"/>
          <w:i w:val="0"/>
          <w:color w:val="667085"/>
          <w:sz w:val="17"/>
        </w:rPr>
        <w:t>未识别 · 宏观通胀传导 · score 49.9</w:t>
      </w:r>
    </w:p>
    <w:p>
      <w:pPr>
        <w:spacing w:before="0" w:after="100" w:line="264" w:lineRule="auto"/>
      </w:pPr>
      <w:r>
        <w:rPr>
          <w:rFonts w:ascii="Calibri" w:hAnsi="Calibri" w:eastAsia="Arial Unicode MS"/>
          <w:b w:val="0"/>
          <w:i w:val="0"/>
          <w:color w:val="334155"/>
          <w:sz w:val="20"/>
        </w:rPr>
        <w:t>2026-07-20 — 美国更高终端利率与全球电网设备短缺对中国的双向传导：人民币约束、政策空间与A股电力设备出口链</w:t>
      </w:r>
    </w:p>
    <w:p>
      <w:pPr>
        <w:spacing w:before="0" w:after="160" w:line="264" w:lineRule="auto"/>
      </w:pPr>
      <w:r>
        <w:rPr>
          <w:rFonts w:ascii="Calibri" w:hAnsi="Calibri" w:eastAsia="Arial Unicode MS"/>
          <w:b w:val="0"/>
          <w:i w:val="0"/>
          <w:color w:val="667085"/>
          <w:sz w:val="17"/>
        </w:rPr>
        <w:t xml:space="preserve">Report: </w:t>
      </w:r>
      <w:hyperlink r:id="rId20">
        <w:r>
          <w:rPr>
            <w:color w:val="285B9D"/>
            <w:u w:val="single"/>
            <w:rFonts w:eastAsia="Arial Unicode MS" w:ascii="Calibri" w:hAnsi="Calibri"/>
          </w:rPr>
          <w:t>reports/archive-731b324da879</w:t>
        </w:r>
      </w:hyperlink>
    </w:p>
    <w:p>
      <w:pPr>
        <w:spacing w:before="0" w:after="40" w:line="264" w:lineRule="auto"/>
      </w:pPr>
      <w:r>
        <w:rPr>
          <w:rFonts w:ascii="Calibri" w:hAnsi="Calibri" w:eastAsia="Arial Unicode MS"/>
          <w:b/>
          <w:i w:val="0"/>
          <w:color w:val="0B2545"/>
          <w:sz w:val="23"/>
        </w:rPr>
        <w:t>4. 硅电锁死与再通胀：AI算力电力通胀向核心PCE的传导路径与降息周期的利率定价博弈</w:t>
      </w:r>
    </w:p>
    <w:p>
      <w:pPr>
        <w:spacing w:before="0" w:after="40" w:line="264" w:lineRule="auto"/>
      </w:pPr>
      <w:r>
        <w:rPr>
          <w:rFonts w:ascii="Calibri" w:hAnsi="Calibri" w:eastAsia="Arial Unicode MS"/>
          <w:b w:val="0"/>
          <w:i w:val="0"/>
          <w:color w:val="667085"/>
          <w:sz w:val="17"/>
        </w:rPr>
        <w:t>未识别 · 宏观通胀传导 · score 49.6</w:t>
      </w:r>
    </w:p>
    <w:p>
      <w:pPr>
        <w:spacing w:before="0" w:after="100" w:line="264" w:lineRule="auto"/>
      </w:pPr>
      <w:r>
        <w:rPr>
          <w:rFonts w:ascii="Calibri" w:hAnsi="Calibri" w:eastAsia="Arial Unicode MS"/>
          <w:b w:val="0"/>
          <w:i w:val="0"/>
          <w:color w:val="334155"/>
          <w:sz w:val="20"/>
        </w:rPr>
        <w:t>硅电锁死与再通胀：AI算力电力通胀向核心PCE的传导路径与降息周期的利率定价博弈</w:t>
      </w:r>
    </w:p>
    <w:p>
      <w:pPr>
        <w:spacing w:before="0" w:after="160" w:line="264" w:lineRule="auto"/>
      </w:pPr>
      <w:r>
        <w:rPr>
          <w:rFonts w:ascii="Calibri" w:hAnsi="Calibri" w:eastAsia="Arial Unicode MS"/>
          <w:b w:val="0"/>
          <w:i w:val="0"/>
          <w:color w:val="667085"/>
          <w:sz w:val="17"/>
        </w:rPr>
        <w:t xml:space="preserve">Report: </w:t>
      </w:r>
      <w:hyperlink r:id="rId21">
        <w:r>
          <w:rPr>
            <w:color w:val="285B9D"/>
            <w:u w:val="single"/>
            <w:rFonts w:eastAsia="Arial Unicode MS" w:ascii="Calibri" w:hAnsi="Calibri"/>
          </w:rPr>
          <w:t>reports/archive-8d3e283c741e</w:t>
        </w:r>
      </w:hyperlink>
    </w:p>
    <w:p>
      <w:pPr>
        <w:spacing w:before="0" w:after="40" w:line="264" w:lineRule="auto"/>
      </w:pPr>
      <w:r>
        <w:rPr>
          <w:rFonts w:ascii="Calibri" w:hAnsi="Calibri" w:eastAsia="Arial Unicode MS"/>
          <w:b/>
          <w:i w:val="0"/>
          <w:color w:val="0B2545"/>
          <w:sz w:val="23"/>
        </w:rPr>
        <w:t>5. AI 产业动态追踪报告 (AI Industry Tracker)</w:t>
      </w:r>
    </w:p>
    <w:p>
      <w:pPr>
        <w:spacing w:before="0" w:after="40" w:line="264" w:lineRule="auto"/>
      </w:pPr>
      <w:r>
        <w:rPr>
          <w:rFonts w:ascii="Calibri" w:hAnsi="Calibri" w:eastAsia="Arial Unicode MS"/>
          <w:b w:val="0"/>
          <w:i w:val="0"/>
          <w:color w:val="667085"/>
          <w:sz w:val="17"/>
        </w:rPr>
        <w:t>未识别 · 宏观通胀传导 · score 49.5</w:t>
      </w:r>
    </w:p>
    <w:p>
      <w:pPr>
        <w:spacing w:before="0" w:after="100" w:line="264" w:lineRule="auto"/>
      </w:pPr>
      <w:r>
        <w:rPr>
          <w:rFonts w:ascii="Calibri" w:hAnsi="Calibri" w:eastAsia="Arial Unicode MS"/>
          <w:b w:val="0"/>
          <w:i w:val="0"/>
          <w:color w:val="334155"/>
          <w:sz w:val="20"/>
        </w:rPr>
        <w:t>模型侧价格战与商业化分化： 2026年7月，头部大模型厂商（OpenAI、Meta、xAI、Anthropic）在经历6月的监管/出口管制风波后，于本月密集发布或重新部署新一代模型，降本增效和Agent化（Agentic c...</w:t>
      </w:r>
    </w:p>
    <w:p>
      <w:pPr>
        <w:spacing w:before="0" w:after="160" w:line="264" w:lineRule="auto"/>
      </w:pPr>
      <w:r>
        <w:rPr>
          <w:rFonts w:ascii="Calibri" w:hAnsi="Calibri" w:eastAsia="Arial Unicode MS"/>
          <w:b w:val="0"/>
          <w:i w:val="0"/>
          <w:color w:val="667085"/>
          <w:sz w:val="17"/>
        </w:rPr>
        <w:t xml:space="preserve">Report: </w:t>
      </w:r>
      <w:hyperlink r:id="rId22">
        <w:r>
          <w:rPr>
            <w:color w:val="285B9D"/>
            <w:u w:val="single"/>
            <w:rFonts w:eastAsia="Arial Unicode MS" w:ascii="Calibri" w:hAnsi="Calibri"/>
          </w:rPr>
          <w:t>reports/archive-fc9245e72f9f</w:t>
        </w:r>
      </w:hyperlink>
    </w:p>
    <w:p>
      <w:pPr>
        <w:spacing w:before="0" w:after="40" w:line="264" w:lineRule="auto"/>
      </w:pPr>
      <w:r>
        <w:rPr>
          <w:rFonts w:ascii="Calibri" w:hAnsi="Calibri" w:eastAsia="Arial Unicode MS"/>
          <w:b/>
          <w:i w:val="0"/>
          <w:color w:val="0B2545"/>
          <w:sz w:val="23"/>
        </w:rPr>
        <w:t>6. prior research notes— AI基础设施电力与信用瓶颈的宏观通胀与资本开支效应：对美国结构性通胀、...</w:t>
      </w:r>
    </w:p>
    <w:p>
      <w:pPr>
        <w:spacing w:before="0" w:after="40" w:line="264" w:lineRule="auto"/>
      </w:pPr>
      <w:r>
        <w:rPr>
          <w:rFonts w:ascii="Calibri" w:hAnsi="Calibri" w:eastAsia="Arial Unicode MS"/>
          <w:b w:val="0"/>
          <w:i w:val="0"/>
          <w:color w:val="667085"/>
          <w:sz w:val="17"/>
        </w:rPr>
        <w:t>未识别 · 宏观通胀传导 · score 48.6</w:t>
      </w:r>
    </w:p>
    <w:p>
      <w:pPr>
        <w:spacing w:before="0" w:after="100" w:line="264" w:lineRule="auto"/>
      </w:pPr>
      <w:r>
        <w:rPr>
          <w:rFonts w:ascii="Calibri" w:hAnsi="Calibri" w:eastAsia="Arial Unicode MS"/>
          <w:b w:val="0"/>
          <w:i w:val="0"/>
          <w:color w:val="334155"/>
          <w:sz w:val="20"/>
        </w:rPr>
        <w:t>prior research notes— AI基础设施电力与信用瓶颈的宏观通胀与资本开支效应：对美国结构性通胀、美联储终端利率及全球设备资本开支周期的影响</w:t>
      </w:r>
    </w:p>
    <w:p>
      <w:pPr>
        <w:spacing w:before="0" w:after="160" w:line="264" w:lineRule="auto"/>
      </w:pPr>
      <w:r>
        <w:rPr>
          <w:rFonts w:ascii="Calibri" w:hAnsi="Calibri" w:eastAsia="Arial Unicode MS"/>
          <w:b w:val="0"/>
          <w:i w:val="0"/>
          <w:color w:val="667085"/>
          <w:sz w:val="17"/>
        </w:rPr>
        <w:t xml:space="preserve">Report: </w:t>
      </w:r>
      <w:hyperlink r:id="rId23">
        <w:r>
          <w:rPr>
            <w:color w:val="285B9D"/>
            <w:u w:val="single"/>
            <w:rFonts w:eastAsia="Arial Unicode MS" w:ascii="Calibri" w:hAnsi="Calibri"/>
          </w:rPr>
          <w:t>reports/archive-047daba6b595</w:t>
        </w:r>
      </w:hyperlink>
    </w:p>
    <w:p>
      <w:pPr>
        <w:pStyle w:val="Heading1"/>
      </w:pPr>
      <w:r>
        <w:t>4. 重点跟踪事项</w:t>
      </w:r>
    </w:p>
    <w:p>
      <w:pPr>
        <w:spacing w:before="0" w:after="40" w:line="264" w:lineRule="auto"/>
      </w:pPr>
      <w:r>
        <w:rPr>
          <w:rFonts w:ascii="Calibri" w:hAnsi="Calibri" w:eastAsia="Arial Unicode MS"/>
          <w:b/>
          <w:i w:val="0"/>
          <w:color w:val="0B2545"/>
          <w:sz w:val="22"/>
        </w:rPr>
        <w:t>AI 电力篮子相关性风险：公用事业分析师研究记录，2026-07-19</w:t>
      </w:r>
    </w:p>
    <w:p>
      <w:pPr>
        <w:spacing w:before="0" w:after="60" w:line="264" w:lineRule="auto"/>
      </w:pPr>
      <w:r>
        <w:rPr>
          <w:rFonts w:ascii="Calibri" w:hAnsi="Calibri" w:eastAsia="Arial Unicode MS"/>
          <w:b w:val="0"/>
          <w:i w:val="0"/>
          <w:color w:val="334155"/>
          <w:sz w:val="20"/>
        </w:rPr>
        <w:t>AI 基础设施，影响 5 / 概率 3</w:t>
      </w:r>
    </w:p>
    <w:p>
      <w:pPr>
        <w:spacing w:before="0" w:after="160" w:line="264" w:lineRule="auto"/>
      </w:pPr>
      <w:r>
        <w:rPr>
          <w:rFonts w:ascii="Calibri" w:hAnsi="Calibri" w:eastAsia="Arial Unicode MS"/>
          <w:b w:val="0"/>
          <w:i w:val="0"/>
          <w:color w:val="667085"/>
          <w:sz w:val="17"/>
        </w:rPr>
        <w:t xml:space="preserve">Report: </w:t>
      </w:r>
      <w:hyperlink r:id="rId13">
        <w:r>
          <w:rPr>
            <w:color w:val="285B9D"/>
            <w:u w:val="single"/>
            <w:rFonts w:eastAsia="Arial Unicode MS" w:ascii="Calibri" w:hAnsi="Calibri"/>
          </w:rPr>
          <w:t>reports/archive-220e9e773378</w:t>
        </w:r>
      </w:hyperlink>
    </w:p>
    <w:p>
      <w:pPr>
        <w:spacing w:before="0" w:after="40" w:line="264" w:lineRule="auto"/>
      </w:pPr>
      <w:r>
        <w:rPr>
          <w:rFonts w:ascii="Calibri" w:hAnsi="Calibri" w:eastAsia="Arial Unicode MS"/>
          <w:b/>
          <w:i w:val="0"/>
          <w:color w:val="0B2545"/>
          <w:sz w:val="22"/>
        </w:rPr>
        <w:t>2026-07-18 — 研究记录 02：AI 算力基础设施与能源瓶颈</w:t>
      </w:r>
    </w:p>
    <w:p>
      <w:pPr>
        <w:spacing w:before="0" w:after="60" w:line="264" w:lineRule="auto"/>
      </w:pPr>
      <w:r>
        <w:rPr>
          <w:rFonts w:ascii="Calibri" w:hAnsi="Calibri" w:eastAsia="Arial Unicode MS"/>
          <w:b w:val="0"/>
          <w:i w:val="0"/>
          <w:color w:val="334155"/>
          <w:sz w:val="20"/>
        </w:rPr>
        <w:t>AI 基础设施，影响 5 / 概率 3</w:t>
      </w:r>
    </w:p>
    <w:p>
      <w:pPr>
        <w:spacing w:before="0" w:after="160" w:line="264" w:lineRule="auto"/>
      </w:pPr>
      <w:r>
        <w:rPr>
          <w:rFonts w:ascii="Calibri" w:hAnsi="Calibri" w:eastAsia="Arial Unicode MS"/>
          <w:b w:val="0"/>
          <w:i w:val="0"/>
          <w:color w:val="667085"/>
          <w:sz w:val="17"/>
        </w:rPr>
        <w:t xml:space="preserve">Report: </w:t>
      </w:r>
      <w:hyperlink r:id="rId24">
        <w:r>
          <w:rPr>
            <w:color w:val="285B9D"/>
            <w:u w:val="single"/>
            <w:rFonts w:eastAsia="Arial Unicode MS" w:ascii="Calibri" w:hAnsi="Calibri"/>
          </w:rPr>
          <w:t>reports/archive-29627640e1a7</w:t>
        </w:r>
      </w:hyperlink>
    </w:p>
    <w:p>
      <w:pPr>
        <w:spacing w:before="0" w:after="40" w:line="264" w:lineRule="auto"/>
      </w:pPr>
      <w:r>
        <w:rPr>
          <w:rFonts w:ascii="Calibri" w:hAnsi="Calibri" w:eastAsia="Arial Unicode MS"/>
          <w:b/>
          <w:i w:val="0"/>
          <w:color w:val="0B2545"/>
          <w:sz w:val="22"/>
        </w:rPr>
        <w:t>挑战："Exit code 0"</w:t>
      </w:r>
    </w:p>
    <w:p>
      <w:pPr>
        <w:spacing w:before="0" w:after="60" w:line="264" w:lineRule="auto"/>
      </w:pPr>
      <w:r>
        <w:rPr>
          <w:rFonts w:ascii="Calibri" w:hAnsi="Calibri" w:eastAsia="Arial Unicode MS"/>
          <w:b w:val="0"/>
          <w:i w:val="0"/>
          <w:color w:val="334155"/>
          <w:sz w:val="20"/>
        </w:rPr>
        <w:t>AI 基础设施，影响 5 / 概率 4</w:t>
      </w:r>
    </w:p>
    <w:p>
      <w:pPr>
        <w:spacing w:before="0" w:after="160" w:line="264" w:lineRule="auto"/>
      </w:pPr>
      <w:r>
        <w:rPr>
          <w:rFonts w:ascii="Calibri" w:hAnsi="Calibri" w:eastAsia="Arial Unicode MS"/>
          <w:b w:val="0"/>
          <w:i w:val="0"/>
          <w:color w:val="667085"/>
          <w:sz w:val="17"/>
        </w:rPr>
        <w:t xml:space="preserve">Report: </w:t>
      </w:r>
      <w:hyperlink r:id="rId25">
        <w:r>
          <w:rPr>
            <w:color w:val="285B9D"/>
            <w:u w:val="single"/>
            <w:rFonts w:eastAsia="Arial Unicode MS" w:ascii="Calibri" w:hAnsi="Calibri"/>
          </w:rPr>
          <w:t>reports/archive-349ffb9e27d6</w:t>
        </w:r>
      </w:hyperlink>
    </w:p>
    <w:p>
      <w:pPr>
        <w:pStyle w:val="Heading1"/>
      </w:pPr>
      <w:r>
        <w:t>5. 证据表</w:t>
      </w:r>
    </w:p>
    <w:tbl>
      <w:tblPr>
        <w:tblW w:type="dxa" w:w="9360"/>
        <w:jc w:val="left"/>
        <w:tblLayout w:type="fixed"/>
        <w:tblLook w:firstColumn="1" w:firstRow="1" w:lastColumn="0" w:lastRow="0" w:noHBand="0" w:noVBand="1" w:val="04A0"/>
      </w:tblPr>
      <w:tblGrid>
        <w:gridCol w:w="3720"/>
        <w:gridCol w:w="1560"/>
        <w:gridCol w:w="1680"/>
        <w:gridCol w:w="900"/>
        <w:gridCol w:w="1500"/>
      </w:tblGrid>
      <w:tr>
        <w:tc>
          <w:tcPr>
            <w:tcW w:type="dxa" w:w="3720"/>
            <w:vAlign w:val="center"/>
            <w:shd w:fill="F2F4F7"/>
          </w:tcPr>
          <w:p>
            <w:pPr>
              <w:spacing w:before="0" w:after="0"/>
              <w:jc w:val="center"/>
            </w:pPr>
            <w:r/>
            <w:r>
              <w:rPr>
                <w:rFonts w:ascii="Calibri" w:hAnsi="Calibri" w:eastAsia="Arial Unicode MS"/>
                <w:b/>
                <w:color w:val="475569"/>
                <w:sz w:val="18"/>
              </w:rPr>
              <w:t>报告</w:t>
            </w:r>
          </w:p>
        </w:tc>
        <w:tc>
          <w:tcPr>
            <w:tcW w:type="dxa" w:w="1560"/>
            <w:vAlign w:val="center"/>
            <w:shd w:fill="F2F4F7"/>
          </w:tcPr>
          <w:p>
            <w:pPr>
              <w:spacing w:before="0" w:after="0"/>
              <w:jc w:val="center"/>
            </w:pPr>
            <w:r/>
            <w:r>
              <w:rPr>
                <w:rFonts w:ascii="Calibri" w:hAnsi="Calibri" w:eastAsia="Arial Unicode MS"/>
                <w:b/>
                <w:color w:val="475569"/>
                <w:sz w:val="18"/>
              </w:rPr>
              <w:t>分析师</w:t>
            </w:r>
          </w:p>
        </w:tc>
        <w:tc>
          <w:tcPr>
            <w:tcW w:type="dxa" w:w="1680"/>
            <w:vAlign w:val="center"/>
            <w:shd w:fill="F2F4F7"/>
          </w:tcPr>
          <w:p>
            <w:pPr>
              <w:spacing w:before="0" w:after="0"/>
              <w:jc w:val="center"/>
            </w:pPr>
            <w:r/>
            <w:r>
              <w:rPr>
                <w:rFonts w:ascii="Calibri" w:hAnsi="Calibri" w:eastAsia="Arial Unicode MS"/>
                <w:b/>
                <w:color w:val="475569"/>
                <w:sz w:val="18"/>
              </w:rPr>
              <w:t>行业链</w:t>
            </w:r>
          </w:p>
        </w:tc>
        <w:tc>
          <w:tcPr>
            <w:tcW w:type="dxa" w:w="900"/>
            <w:vAlign w:val="center"/>
            <w:shd w:fill="F2F4F7"/>
          </w:tcPr>
          <w:p>
            <w:pPr>
              <w:spacing w:before="0" w:after="0"/>
              <w:jc w:val="center"/>
            </w:pPr>
            <w:r/>
            <w:r>
              <w:rPr>
                <w:rFonts w:ascii="Calibri" w:hAnsi="Calibri" w:eastAsia="Arial Unicode MS"/>
                <w:b/>
                <w:color w:val="475569"/>
                <w:sz w:val="18"/>
              </w:rPr>
              <w:t>评分</w:t>
            </w:r>
          </w:p>
        </w:tc>
        <w:tc>
          <w:tcPr>
            <w:tcW w:type="dxa" w:w="1500"/>
            <w:vAlign w:val="center"/>
            <w:shd w:fill="F2F4F7"/>
          </w:tcPr>
          <w:p>
            <w:pPr>
              <w:spacing w:before="0" w:after="0"/>
              <w:jc w:val="center"/>
            </w:pPr>
            <w:r/>
            <w:r>
              <w:rPr>
                <w:rFonts w:ascii="Calibri" w:hAnsi="Calibri" w:eastAsia="Arial Unicode MS"/>
                <w:b/>
                <w:color w:val="475569"/>
                <w:sz w:val="18"/>
              </w:rPr>
              <w:t>风险</w:t>
            </w:r>
          </w:p>
        </w:tc>
      </w:tr>
      <w:tr>
        <w:tc>
          <w:tcPr>
            <w:tcW w:type="dxa" w:w="3720"/>
            <w:vAlign w:val="center"/>
          </w:tcPr>
          <w:p>
            <w:pPr>
              <w:spacing w:before="0" w:after="0"/>
            </w:pPr>
            <w:r/>
            <w:r>
              <w:rPr>
                <w:rFonts w:ascii="Calibri" w:hAnsi="Calibri" w:eastAsia="Arial Unicode MS"/>
                <w:b w:val="0"/>
                <w:color w:val="111827"/>
                <w:sz w:val="17"/>
              </w:rPr>
              <w:t>策略工作日期 2026-07-20</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电力与电网</w:t>
            </w:r>
          </w:p>
        </w:tc>
        <w:tc>
          <w:tcPr>
            <w:tcW w:type="dxa" w:w="900"/>
            <w:vAlign w:val="center"/>
          </w:tcPr>
          <w:p>
            <w:pPr>
              <w:spacing w:before="0" w:after="0"/>
              <w:jc w:val="center"/>
            </w:pPr>
            <w:r/>
            <w:r>
              <w:rPr>
                <w:rFonts w:ascii="Calibri" w:hAnsi="Calibri" w:eastAsia="Arial Unicode MS"/>
                <w:b/>
                <w:color w:val="111827"/>
                <w:sz w:val="17"/>
              </w:rPr>
              <w:t>52.0</w:t>
            </w:r>
          </w:p>
        </w:tc>
        <w:tc>
          <w:tcPr>
            <w:tcW w:type="dxa" w:w="1500"/>
            <w:vAlign w:val="center"/>
          </w:tcPr>
          <w:p>
            <w:pPr>
              <w:spacing w:before="0" w:after="0"/>
              <w:jc w:val="center"/>
            </w:pPr>
            <w:r/>
            <w:r>
              <w:rPr>
                <w:rFonts w:ascii="Calibri" w:hAnsi="Calibri" w:eastAsia="Arial Unicode MS"/>
                <w:b w:val="0"/>
                <w:color w:val="111827"/>
                <w:sz w:val="16"/>
              </w:rPr>
              <w:t>风险 1</w:t>
            </w:r>
          </w:p>
        </w:tc>
      </w:tr>
      <w:tr>
        <w:tc>
          <w:tcPr>
            <w:tcW w:type="dxa" w:w="3720"/>
            <w:vAlign w:val="center"/>
          </w:tcPr>
          <w:p>
            <w:pPr>
              <w:spacing w:before="0" w:after="0"/>
            </w:pPr>
            <w:r/>
            <w:r>
              <w:rPr>
                <w:rFonts w:ascii="Calibri" w:hAnsi="Calibri" w:eastAsia="Arial Unicode MS"/>
                <w:b w:val="0"/>
                <w:color w:val="111827"/>
                <w:sz w:val="17"/>
              </w:rPr>
              <w:t>AI基础设施工作日期 2026-07-20</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AI 基础设施</w:t>
            </w:r>
          </w:p>
        </w:tc>
        <w:tc>
          <w:tcPr>
            <w:tcW w:type="dxa" w:w="900"/>
            <w:vAlign w:val="center"/>
          </w:tcPr>
          <w:p>
            <w:pPr>
              <w:spacing w:before="0" w:after="0"/>
              <w:jc w:val="center"/>
            </w:pPr>
            <w:r/>
            <w:r>
              <w:rPr>
                <w:rFonts w:ascii="Calibri" w:hAnsi="Calibri" w:eastAsia="Arial Unicode MS"/>
                <w:b/>
                <w:color w:val="111827"/>
                <w:sz w:val="17"/>
              </w:rPr>
              <w:t>50.5</w:t>
            </w:r>
          </w:p>
        </w:tc>
        <w:tc>
          <w:tcPr>
            <w:tcW w:type="dxa" w:w="1500"/>
            <w:vAlign w:val="center"/>
          </w:tcPr>
          <w:p>
            <w:pPr>
              <w:spacing w:before="0" w:after="0"/>
              <w:jc w:val="center"/>
            </w:pPr>
            <w:r/>
            <w:r>
              <w:rPr>
                <w:rFonts w:ascii="Calibri" w:hAnsi="Calibri" w:eastAsia="Arial Unicode MS"/>
                <w:b w:val="0"/>
                <w:color w:val="111827"/>
                <w:sz w:val="16"/>
              </w:rPr>
              <w:t>风险 3</w:t>
            </w:r>
          </w:p>
        </w:tc>
      </w:tr>
      <w:tr>
        <w:tc>
          <w:tcPr>
            <w:tcW w:type="dxa" w:w="3720"/>
            <w:vAlign w:val="center"/>
          </w:tcPr>
          <w:p>
            <w:pPr>
              <w:spacing w:before="0" w:after="0"/>
            </w:pPr>
            <w:r/>
            <w:r>
              <w:rPr>
                <w:rFonts w:ascii="Calibri" w:hAnsi="Calibri" w:eastAsia="Arial Unicode MS"/>
                <w:b w:val="0"/>
                <w:color w:val="111827"/>
                <w:sz w:val="17"/>
              </w:rPr>
              <w:t>2026-07-20 — 美国更高终端利率与全球电网设备短缺对中国的双向传导：人民币约束、政策空间与A股...</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宏观通胀传导</w:t>
            </w:r>
          </w:p>
        </w:tc>
        <w:tc>
          <w:tcPr>
            <w:tcW w:type="dxa" w:w="900"/>
            <w:vAlign w:val="center"/>
          </w:tcPr>
          <w:p>
            <w:pPr>
              <w:spacing w:before="0" w:after="0"/>
              <w:jc w:val="center"/>
            </w:pPr>
            <w:r/>
            <w:r>
              <w:rPr>
                <w:rFonts w:ascii="Calibri" w:hAnsi="Calibri" w:eastAsia="Arial Unicode MS"/>
                <w:b/>
                <w:color w:val="111827"/>
                <w:sz w:val="17"/>
              </w:rPr>
              <w:t>49.9</w:t>
            </w:r>
          </w:p>
        </w:tc>
        <w:tc>
          <w:tcPr>
            <w:tcW w:type="dxa" w:w="1500"/>
            <w:vAlign w:val="center"/>
          </w:tcPr>
          <w:p>
            <w:pPr>
              <w:spacing w:before="0" w:after="0"/>
              <w:jc w:val="center"/>
            </w:pPr>
            <w:r/>
            <w:r>
              <w:rPr>
                <w:rFonts w:ascii="Calibri" w:hAnsi="Calibri" w:eastAsia="Arial Unicode MS"/>
                <w:b w:val="0"/>
                <w:color w:val="111827"/>
                <w:sz w:val="16"/>
              </w:rPr>
              <w:t>风险 2</w:t>
            </w:r>
          </w:p>
        </w:tc>
      </w:tr>
      <w:tr>
        <w:tc>
          <w:tcPr>
            <w:tcW w:type="dxa" w:w="3720"/>
            <w:vAlign w:val="center"/>
          </w:tcPr>
          <w:p>
            <w:pPr>
              <w:spacing w:before="0" w:after="0"/>
            </w:pPr>
            <w:r/>
            <w:r>
              <w:rPr>
                <w:rFonts w:ascii="Calibri" w:hAnsi="Calibri" w:eastAsia="Arial Unicode MS"/>
                <w:b w:val="0"/>
                <w:color w:val="111827"/>
                <w:sz w:val="17"/>
              </w:rPr>
              <w:t>硅电锁死与再通胀：AI算力电力通胀向核心PCE的传导路径与降息周期的利率定价博弈</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宏观通胀传导</w:t>
            </w:r>
          </w:p>
        </w:tc>
        <w:tc>
          <w:tcPr>
            <w:tcW w:type="dxa" w:w="900"/>
            <w:vAlign w:val="center"/>
          </w:tcPr>
          <w:p>
            <w:pPr>
              <w:spacing w:before="0" w:after="0"/>
              <w:jc w:val="center"/>
            </w:pPr>
            <w:r/>
            <w:r>
              <w:rPr>
                <w:rFonts w:ascii="Calibri" w:hAnsi="Calibri" w:eastAsia="Arial Unicode MS"/>
                <w:b/>
                <w:color w:val="111827"/>
                <w:sz w:val="17"/>
              </w:rPr>
              <w:t>49.6</w:t>
            </w:r>
          </w:p>
        </w:tc>
        <w:tc>
          <w:tcPr>
            <w:tcW w:type="dxa" w:w="1500"/>
            <w:vAlign w:val="center"/>
          </w:tcPr>
          <w:p>
            <w:pPr>
              <w:spacing w:before="0" w:after="0"/>
              <w:jc w:val="center"/>
            </w:pPr>
            <w:r/>
            <w:r>
              <w:rPr>
                <w:rFonts w:ascii="Calibri" w:hAnsi="Calibri" w:eastAsia="Arial Unicode MS"/>
                <w:b w:val="0"/>
                <w:color w:val="111827"/>
                <w:sz w:val="16"/>
              </w:rPr>
              <w:t>风险 1</w:t>
            </w:r>
          </w:p>
        </w:tc>
      </w:tr>
      <w:tr>
        <w:tc>
          <w:tcPr>
            <w:tcW w:type="dxa" w:w="3720"/>
            <w:vAlign w:val="center"/>
          </w:tcPr>
          <w:p>
            <w:pPr>
              <w:spacing w:before="0" w:after="0"/>
            </w:pPr>
            <w:r/>
            <w:r>
              <w:rPr>
                <w:rFonts w:ascii="Calibri" w:hAnsi="Calibri" w:eastAsia="Arial Unicode MS"/>
                <w:b w:val="0"/>
                <w:color w:val="111827"/>
                <w:sz w:val="17"/>
              </w:rPr>
              <w:t>AI 产业动态追踪报告 (AI Industry Tracker)</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宏观通胀传导</w:t>
            </w:r>
          </w:p>
        </w:tc>
        <w:tc>
          <w:tcPr>
            <w:tcW w:type="dxa" w:w="900"/>
            <w:vAlign w:val="center"/>
          </w:tcPr>
          <w:p>
            <w:pPr>
              <w:spacing w:before="0" w:after="0"/>
              <w:jc w:val="center"/>
            </w:pPr>
            <w:r/>
            <w:r>
              <w:rPr>
                <w:rFonts w:ascii="Calibri" w:hAnsi="Calibri" w:eastAsia="Arial Unicode MS"/>
                <w:b/>
                <w:color w:val="111827"/>
                <w:sz w:val="17"/>
              </w:rPr>
              <w:t>49.5</w:t>
            </w:r>
          </w:p>
        </w:tc>
        <w:tc>
          <w:tcPr>
            <w:tcW w:type="dxa" w:w="1500"/>
            <w:vAlign w:val="center"/>
          </w:tcPr>
          <w:p>
            <w:pPr>
              <w:spacing w:before="0" w:after="0"/>
              <w:jc w:val="center"/>
            </w:pPr>
            <w:r/>
            <w:r>
              <w:rPr>
                <w:rFonts w:ascii="Calibri" w:hAnsi="Calibri" w:eastAsia="Arial Unicode MS"/>
                <w:b w:val="0"/>
                <w:color w:val="111827"/>
                <w:sz w:val="16"/>
              </w:rPr>
              <w:t>风险 2</w:t>
            </w:r>
          </w:p>
        </w:tc>
      </w:tr>
      <w:tr>
        <w:tc>
          <w:tcPr>
            <w:tcW w:type="dxa" w:w="3720"/>
            <w:vAlign w:val="center"/>
          </w:tcPr>
          <w:p>
            <w:pPr>
              <w:spacing w:before="0" w:after="0"/>
            </w:pPr>
            <w:r/>
            <w:r>
              <w:rPr>
                <w:rFonts w:ascii="Calibri" w:hAnsi="Calibri" w:eastAsia="Arial Unicode MS"/>
                <w:b w:val="0"/>
                <w:color w:val="111827"/>
                <w:sz w:val="17"/>
              </w:rPr>
              <w:t>prior research notes— AI基础设施电力与信用瓶颈的宏观通胀与资本开支效应：对美国结构性通胀、...</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宏观通胀传导</w:t>
            </w:r>
          </w:p>
        </w:tc>
        <w:tc>
          <w:tcPr>
            <w:tcW w:type="dxa" w:w="900"/>
            <w:vAlign w:val="center"/>
          </w:tcPr>
          <w:p>
            <w:pPr>
              <w:spacing w:before="0" w:after="0"/>
              <w:jc w:val="center"/>
            </w:pPr>
            <w:r/>
            <w:r>
              <w:rPr>
                <w:rFonts w:ascii="Calibri" w:hAnsi="Calibri" w:eastAsia="Arial Unicode MS"/>
                <w:b/>
                <w:color w:val="111827"/>
                <w:sz w:val="17"/>
              </w:rPr>
              <w:t>48.6</w:t>
            </w:r>
          </w:p>
        </w:tc>
        <w:tc>
          <w:tcPr>
            <w:tcW w:type="dxa" w:w="1500"/>
            <w:vAlign w:val="center"/>
          </w:tcPr>
          <w:p>
            <w:pPr>
              <w:spacing w:before="0" w:after="0"/>
              <w:jc w:val="center"/>
            </w:pPr>
            <w:r/>
            <w:r>
              <w:rPr>
                <w:rFonts w:ascii="Calibri" w:hAnsi="Calibri" w:eastAsia="Arial Unicode MS"/>
                <w:b w:val="0"/>
                <w:color w:val="111827"/>
                <w:sz w:val="16"/>
              </w:rPr>
              <w:t>风险 1</w:t>
            </w:r>
          </w:p>
        </w:tc>
      </w:tr>
      <w:tr>
        <w:tc>
          <w:tcPr>
            <w:tcW w:type="dxa" w:w="3720"/>
            <w:vAlign w:val="center"/>
          </w:tcPr>
          <w:p>
            <w:pPr>
              <w:spacing w:before="0" w:after="0"/>
            </w:pPr>
            <w:r/>
            <w:r>
              <w:rPr>
                <w:rFonts w:ascii="Calibri" w:hAnsi="Calibri" w:eastAsia="Arial Unicode MS"/>
                <w:b w:val="0"/>
                <w:color w:val="111827"/>
                <w:sz w:val="17"/>
              </w:rPr>
              <w:t>策略工作日期 2026-07-20</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电力与电网</w:t>
            </w:r>
          </w:p>
        </w:tc>
        <w:tc>
          <w:tcPr>
            <w:tcW w:type="dxa" w:w="900"/>
            <w:vAlign w:val="center"/>
          </w:tcPr>
          <w:p>
            <w:pPr>
              <w:spacing w:before="0" w:after="0"/>
              <w:jc w:val="center"/>
            </w:pPr>
            <w:r/>
            <w:r>
              <w:rPr>
                <w:rFonts w:ascii="Calibri" w:hAnsi="Calibri" w:eastAsia="Arial Unicode MS"/>
                <w:b/>
                <w:color w:val="111827"/>
                <w:sz w:val="17"/>
              </w:rPr>
              <w:t>47.3</w:t>
            </w:r>
          </w:p>
        </w:tc>
        <w:tc>
          <w:tcPr>
            <w:tcW w:type="dxa" w:w="1500"/>
            <w:vAlign w:val="center"/>
          </w:tcPr>
          <w:p>
            <w:pPr>
              <w:spacing w:before="0" w:after="0"/>
              <w:jc w:val="center"/>
            </w:pPr>
            <w:r/>
            <w:r>
              <w:rPr>
                <w:rFonts w:ascii="Calibri" w:hAnsi="Calibri" w:eastAsia="Arial Unicode MS"/>
                <w:b w:val="0"/>
                <w:color w:val="111827"/>
                <w:sz w:val="16"/>
              </w:rPr>
              <w:t>风险 1</w:t>
            </w:r>
          </w:p>
        </w:tc>
      </w:tr>
      <w:tr>
        <w:tc>
          <w:tcPr>
            <w:tcW w:type="dxa" w:w="3720"/>
            <w:vAlign w:val="center"/>
          </w:tcPr>
          <w:p>
            <w:pPr>
              <w:spacing w:before="0" w:after="0"/>
            </w:pPr>
            <w:r/>
            <w:r>
              <w:rPr>
                <w:rFonts w:ascii="Calibri" w:hAnsi="Calibri" w:eastAsia="Arial Unicode MS"/>
                <w:b w:val="0"/>
                <w:color w:val="111827"/>
                <w:sz w:val="17"/>
              </w:rPr>
              <w:t>research discussion Session Brief</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AI 基础设施</w:t>
            </w:r>
          </w:p>
        </w:tc>
        <w:tc>
          <w:tcPr>
            <w:tcW w:type="dxa" w:w="900"/>
            <w:vAlign w:val="center"/>
          </w:tcPr>
          <w:p>
            <w:pPr>
              <w:spacing w:before="0" w:after="0"/>
              <w:jc w:val="center"/>
            </w:pPr>
            <w:r/>
            <w:r>
              <w:rPr>
                <w:rFonts w:ascii="Calibri" w:hAnsi="Calibri" w:eastAsia="Arial Unicode MS"/>
                <w:b/>
                <w:color w:val="111827"/>
                <w:sz w:val="17"/>
              </w:rPr>
              <w:t>47.0</w:t>
            </w:r>
          </w:p>
        </w:tc>
        <w:tc>
          <w:tcPr>
            <w:tcW w:type="dxa" w:w="1500"/>
            <w:vAlign w:val="center"/>
          </w:tcPr>
          <w:p>
            <w:pPr>
              <w:spacing w:before="0" w:after="0"/>
              <w:jc w:val="center"/>
            </w:pPr>
            <w:r/>
            <w:r>
              <w:rPr>
                <w:rFonts w:ascii="Calibri" w:hAnsi="Calibri" w:eastAsia="Arial Unicode MS"/>
                <w:b w:val="0"/>
                <w:color w:val="111827"/>
                <w:sz w:val="16"/>
              </w:rPr>
              <w:t>风险 1</w:t>
            </w:r>
          </w:p>
        </w:tc>
      </w:tr>
      <w:tr>
        <w:tc>
          <w:tcPr>
            <w:tcW w:type="dxa" w:w="3720"/>
            <w:vAlign w:val="center"/>
          </w:tcPr>
          <w:p>
            <w:pPr>
              <w:spacing w:before="0" w:after="0"/>
            </w:pPr>
            <w:r/>
            <w:r>
              <w:rPr>
                <w:rFonts w:ascii="Calibri" w:hAnsi="Calibri" w:eastAsia="Arial Unicode MS"/>
                <w:b w:val="0"/>
                <w:color w:val="111827"/>
                <w:sz w:val="17"/>
              </w:rPr>
              <w:t>压力测试CPO对冲方案：先进封装瓶颈是否会从逻辑芯片传导至光电集成领域？</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半导体与存储</w:t>
            </w:r>
          </w:p>
        </w:tc>
        <w:tc>
          <w:tcPr>
            <w:tcW w:type="dxa" w:w="900"/>
            <w:vAlign w:val="center"/>
          </w:tcPr>
          <w:p>
            <w:pPr>
              <w:spacing w:before="0" w:after="0"/>
              <w:jc w:val="center"/>
            </w:pPr>
            <w:r/>
            <w:r>
              <w:rPr>
                <w:rFonts w:ascii="Calibri" w:hAnsi="Calibri" w:eastAsia="Arial Unicode MS"/>
                <w:b/>
                <w:color w:val="111827"/>
                <w:sz w:val="17"/>
              </w:rPr>
              <w:t>46.7</w:t>
            </w:r>
          </w:p>
        </w:tc>
        <w:tc>
          <w:tcPr>
            <w:tcW w:type="dxa" w:w="1500"/>
            <w:vAlign w:val="center"/>
          </w:tcPr>
          <w:p>
            <w:pPr>
              <w:spacing w:before="0" w:after="0"/>
              <w:jc w:val="center"/>
            </w:pPr>
            <w:r/>
            <w:r>
              <w:rPr>
                <w:rFonts w:ascii="Calibri" w:hAnsi="Calibri" w:eastAsia="Arial Unicode MS"/>
                <w:b w:val="0"/>
                <w:color w:val="111827"/>
                <w:sz w:val="16"/>
              </w:rPr>
              <w:t>风险 2</w:t>
            </w:r>
          </w:p>
        </w:tc>
      </w:tr>
      <w:tr>
        <w:tc>
          <w:tcPr>
            <w:tcW w:type="dxa" w:w="3720"/>
            <w:vAlign w:val="center"/>
          </w:tcPr>
          <w:p>
            <w:pPr>
              <w:spacing w:before="0" w:after="0"/>
            </w:pPr>
            <w:r/>
            <w:r>
              <w:rPr>
                <w:rFonts w:ascii="Calibri" w:hAnsi="Calibri" w:eastAsia="Arial Unicode MS"/>
                <w:b w:val="0"/>
                <w:color w:val="111827"/>
                <w:sz w:val="17"/>
              </w:rPr>
              <w:t>2026-07-20 压力测试：数据中心照付不议电力合同的信用工具属性</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AI 基础设施</w:t>
            </w:r>
          </w:p>
        </w:tc>
        <w:tc>
          <w:tcPr>
            <w:tcW w:type="dxa" w:w="900"/>
            <w:vAlign w:val="center"/>
          </w:tcPr>
          <w:p>
            <w:pPr>
              <w:spacing w:before="0" w:after="0"/>
              <w:jc w:val="center"/>
            </w:pPr>
            <w:r/>
            <w:r>
              <w:rPr>
                <w:rFonts w:ascii="Calibri" w:hAnsi="Calibri" w:eastAsia="Arial Unicode MS"/>
                <w:b/>
                <w:color w:val="111827"/>
                <w:sz w:val="17"/>
              </w:rPr>
              <w:t>46.2</w:t>
            </w:r>
          </w:p>
        </w:tc>
        <w:tc>
          <w:tcPr>
            <w:tcW w:type="dxa" w:w="1500"/>
            <w:vAlign w:val="center"/>
          </w:tcPr>
          <w:p>
            <w:pPr>
              <w:spacing w:before="0" w:after="0"/>
              <w:jc w:val="center"/>
            </w:pPr>
            <w:r/>
            <w:r>
              <w:rPr>
                <w:rFonts w:ascii="Calibri" w:hAnsi="Calibri" w:eastAsia="Arial Unicode MS"/>
                <w:b w:val="0"/>
                <w:color w:val="111827"/>
                <w:sz w:val="16"/>
              </w:rPr>
              <w:t>风险 2</w:t>
            </w:r>
          </w:p>
        </w:tc>
      </w:tr>
      <w:tr>
        <w:tc>
          <w:tcPr>
            <w:tcW w:type="dxa" w:w="3720"/>
            <w:vAlign w:val="center"/>
          </w:tcPr>
          <w:p>
            <w:pPr>
              <w:spacing w:before="0" w:after="0"/>
            </w:pPr>
            <w:r/>
            <w:r>
              <w:rPr>
                <w:rFonts w:ascii="Calibri" w:hAnsi="Calibri" w:eastAsia="Arial Unicode MS"/>
                <w:b w:val="0"/>
                <w:color w:val="111827"/>
                <w:sz w:val="17"/>
              </w:rPr>
              <w:t>AI 算力电力死锁与硅-电脱耦：A股半导体估值重构与电网设备出口策略</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AI 基础设施</w:t>
            </w:r>
          </w:p>
        </w:tc>
        <w:tc>
          <w:tcPr>
            <w:tcW w:type="dxa" w:w="900"/>
            <w:vAlign w:val="center"/>
          </w:tcPr>
          <w:p>
            <w:pPr>
              <w:spacing w:before="0" w:after="0"/>
              <w:jc w:val="center"/>
            </w:pPr>
            <w:r/>
            <w:r>
              <w:rPr>
                <w:rFonts w:ascii="Calibri" w:hAnsi="Calibri" w:eastAsia="Arial Unicode MS"/>
                <w:b/>
                <w:color w:val="111827"/>
                <w:sz w:val="17"/>
              </w:rPr>
              <w:t>46.0</w:t>
            </w:r>
          </w:p>
        </w:tc>
        <w:tc>
          <w:tcPr>
            <w:tcW w:type="dxa" w:w="1500"/>
            <w:vAlign w:val="center"/>
          </w:tcPr>
          <w:p>
            <w:pPr>
              <w:spacing w:before="0" w:after="0"/>
              <w:jc w:val="center"/>
            </w:pPr>
            <w:r/>
            <w:r>
              <w:rPr>
                <w:rFonts w:ascii="Calibri" w:hAnsi="Calibri" w:eastAsia="Arial Unicode MS"/>
                <w:b w:val="0"/>
                <w:color w:val="111827"/>
                <w:sz w:val="16"/>
              </w:rPr>
              <w:t>常规</w:t>
            </w:r>
          </w:p>
        </w:tc>
      </w:tr>
      <w:tr>
        <w:tc>
          <w:tcPr>
            <w:tcW w:type="dxa" w:w="3720"/>
            <w:vAlign w:val="center"/>
          </w:tcPr>
          <w:p>
            <w:pPr>
              <w:spacing w:before="0" w:after="0"/>
            </w:pPr>
            <w:r/>
            <w:r>
              <w:rPr>
                <w:rFonts w:ascii="Calibri" w:hAnsi="Calibri" w:eastAsia="Arial Unicode MS"/>
                <w:b w:val="0"/>
                <w:color w:val="111827"/>
                <w:sz w:val="17"/>
              </w:rPr>
              <w:t>半导体工作日期 2026-07-20</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宏观通胀传导</w:t>
            </w:r>
          </w:p>
        </w:tc>
        <w:tc>
          <w:tcPr>
            <w:tcW w:type="dxa" w:w="900"/>
            <w:vAlign w:val="center"/>
          </w:tcPr>
          <w:p>
            <w:pPr>
              <w:spacing w:before="0" w:after="0"/>
              <w:jc w:val="center"/>
            </w:pPr>
            <w:r/>
            <w:r>
              <w:rPr>
                <w:rFonts w:ascii="Calibri" w:hAnsi="Calibri" w:eastAsia="Arial Unicode MS"/>
                <w:b/>
                <w:color w:val="111827"/>
                <w:sz w:val="17"/>
              </w:rPr>
              <w:t>45.4</w:t>
            </w:r>
          </w:p>
        </w:tc>
        <w:tc>
          <w:tcPr>
            <w:tcW w:type="dxa" w:w="1500"/>
            <w:vAlign w:val="center"/>
          </w:tcPr>
          <w:p>
            <w:pPr>
              <w:spacing w:before="0" w:after="0"/>
              <w:jc w:val="center"/>
            </w:pPr>
            <w:r/>
            <w:r>
              <w:rPr>
                <w:rFonts w:ascii="Calibri" w:hAnsi="Calibri" w:eastAsia="Arial Unicode MS"/>
                <w:b w:val="0"/>
                <w:color w:val="111827"/>
                <w:sz w:val="16"/>
              </w:rPr>
              <w:t>风险 1</w:t>
            </w:r>
          </w:p>
        </w:tc>
      </w:tr>
      <w:tr>
        <w:tc>
          <w:tcPr>
            <w:tcW w:type="dxa" w:w="3720"/>
            <w:vAlign w:val="center"/>
          </w:tcPr>
          <w:p>
            <w:pPr>
              <w:spacing w:before="0" w:after="0"/>
            </w:pPr>
            <w:r/>
            <w:r>
              <w:rPr>
                <w:rFonts w:ascii="Calibri" w:hAnsi="Calibri" w:eastAsia="Arial Unicode MS"/>
                <w:b w:val="0"/>
                <w:color w:val="111827"/>
                <w:sz w:val="17"/>
              </w:rPr>
              <w:t>2026-07-20 — 全球宏观研究记录：7月FOMC降息检验</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宏观通胀传导</w:t>
            </w:r>
          </w:p>
        </w:tc>
        <w:tc>
          <w:tcPr>
            <w:tcW w:type="dxa" w:w="900"/>
            <w:vAlign w:val="center"/>
          </w:tcPr>
          <w:p>
            <w:pPr>
              <w:spacing w:before="0" w:after="0"/>
              <w:jc w:val="center"/>
            </w:pPr>
            <w:r/>
            <w:r>
              <w:rPr>
                <w:rFonts w:ascii="Calibri" w:hAnsi="Calibri" w:eastAsia="Arial Unicode MS"/>
                <w:b/>
                <w:color w:val="111827"/>
                <w:sz w:val="17"/>
              </w:rPr>
              <w:t>45.3</w:t>
            </w:r>
          </w:p>
        </w:tc>
        <w:tc>
          <w:tcPr>
            <w:tcW w:type="dxa" w:w="1500"/>
            <w:vAlign w:val="center"/>
          </w:tcPr>
          <w:p>
            <w:pPr>
              <w:spacing w:before="0" w:after="0"/>
              <w:jc w:val="center"/>
            </w:pPr>
            <w:r/>
            <w:r>
              <w:rPr>
                <w:rFonts w:ascii="Calibri" w:hAnsi="Calibri" w:eastAsia="Arial Unicode MS"/>
                <w:b w:val="0"/>
                <w:color w:val="111827"/>
                <w:sz w:val="16"/>
              </w:rPr>
              <w:t>风险 1</w:t>
            </w:r>
          </w:p>
        </w:tc>
      </w:tr>
      <w:tr>
        <w:tc>
          <w:tcPr>
            <w:tcW w:type="dxa" w:w="3720"/>
            <w:vAlign w:val="center"/>
          </w:tcPr>
          <w:p>
            <w:pPr>
              <w:spacing w:before="0" w:after="0"/>
            </w:pPr>
            <w:r/>
            <w:r>
              <w:rPr>
                <w:rFonts w:ascii="Calibri" w:hAnsi="Calibri" w:eastAsia="Arial Unicode MS"/>
                <w:b w:val="0"/>
                <w:color w:val="111827"/>
                <w:sz w:val="17"/>
              </w:rPr>
              <w:t>公用事业分析工作日期 2026-07-20</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电力与电网</w:t>
            </w:r>
          </w:p>
        </w:tc>
        <w:tc>
          <w:tcPr>
            <w:tcW w:type="dxa" w:w="900"/>
            <w:vAlign w:val="center"/>
          </w:tcPr>
          <w:p>
            <w:pPr>
              <w:spacing w:before="0" w:after="0"/>
              <w:jc w:val="center"/>
            </w:pPr>
            <w:r/>
            <w:r>
              <w:rPr>
                <w:rFonts w:ascii="Calibri" w:hAnsi="Calibri" w:eastAsia="Arial Unicode MS"/>
                <w:b/>
                <w:color w:val="111827"/>
                <w:sz w:val="17"/>
              </w:rPr>
              <w:t>45.2</w:t>
            </w:r>
          </w:p>
        </w:tc>
        <w:tc>
          <w:tcPr>
            <w:tcW w:type="dxa" w:w="1500"/>
            <w:vAlign w:val="center"/>
          </w:tcPr>
          <w:p>
            <w:pPr>
              <w:spacing w:before="0" w:after="0"/>
              <w:jc w:val="center"/>
            </w:pPr>
            <w:r/>
            <w:r>
              <w:rPr>
                <w:rFonts w:ascii="Calibri" w:hAnsi="Calibri" w:eastAsia="Arial Unicode MS"/>
                <w:b w:val="0"/>
                <w:color w:val="111827"/>
                <w:sz w:val="16"/>
              </w:rPr>
              <w:t>常规</w:t>
            </w:r>
          </w:p>
        </w:tc>
      </w:tr>
      <w:tr>
        <w:tc>
          <w:tcPr>
            <w:tcW w:type="dxa" w:w="3720"/>
            <w:vAlign w:val="center"/>
          </w:tcPr>
          <w:p>
            <w:pPr>
              <w:spacing w:before="0" w:after="0"/>
            </w:pPr>
            <w:r/>
            <w:r>
              <w:rPr>
                <w:rFonts w:ascii="Calibri" w:hAnsi="Calibri" w:eastAsia="Arial Unicode MS"/>
                <w:b w:val="0"/>
                <w:color w:val="111827"/>
                <w:sz w:val="17"/>
              </w:rPr>
              <w:t>2026-07-20 半导体研究记录 02：先进封装良率压力、国内 Fab 毛利率与设备验证速度</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半导体与存储</w:t>
            </w:r>
          </w:p>
        </w:tc>
        <w:tc>
          <w:tcPr>
            <w:tcW w:type="dxa" w:w="900"/>
            <w:vAlign w:val="center"/>
          </w:tcPr>
          <w:p>
            <w:pPr>
              <w:spacing w:before="0" w:after="0"/>
              <w:jc w:val="center"/>
            </w:pPr>
            <w:r/>
            <w:r>
              <w:rPr>
                <w:rFonts w:ascii="Calibri" w:hAnsi="Calibri" w:eastAsia="Arial Unicode MS"/>
                <w:b/>
                <w:color w:val="111827"/>
                <w:sz w:val="17"/>
              </w:rPr>
              <w:t>45.1</w:t>
            </w:r>
          </w:p>
        </w:tc>
        <w:tc>
          <w:tcPr>
            <w:tcW w:type="dxa" w:w="1500"/>
            <w:vAlign w:val="center"/>
          </w:tcPr>
          <w:p>
            <w:pPr>
              <w:spacing w:before="0" w:after="0"/>
              <w:jc w:val="center"/>
            </w:pPr>
            <w:r/>
            <w:r>
              <w:rPr>
                <w:rFonts w:ascii="Calibri" w:hAnsi="Calibri" w:eastAsia="Arial Unicode MS"/>
                <w:b w:val="0"/>
                <w:color w:val="111827"/>
                <w:sz w:val="16"/>
              </w:rPr>
              <w:t>风险 1</w:t>
            </w:r>
          </w:p>
        </w:tc>
      </w:tr>
      <w:tr>
        <w:tc>
          <w:tcPr>
            <w:tcW w:type="dxa" w:w="3720"/>
            <w:vAlign w:val="center"/>
          </w:tcPr>
          <w:p>
            <w:pPr>
              <w:spacing w:before="0" w:after="0"/>
            </w:pPr>
            <w:r/>
            <w:r>
              <w:rPr>
                <w:rFonts w:ascii="Calibri" w:hAnsi="Calibri" w:eastAsia="Arial Unicode MS"/>
                <w:b w:val="0"/>
                <w:color w:val="111827"/>
                <w:sz w:val="17"/>
              </w:rPr>
              <w:t>A股市场结构压力测试：AI电力交付重配下的流动性与交易拥挤约束</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宏观通胀传导</w:t>
            </w:r>
          </w:p>
        </w:tc>
        <w:tc>
          <w:tcPr>
            <w:tcW w:type="dxa" w:w="900"/>
            <w:vAlign w:val="center"/>
          </w:tcPr>
          <w:p>
            <w:pPr>
              <w:spacing w:before="0" w:after="0"/>
              <w:jc w:val="center"/>
            </w:pPr>
            <w:r/>
            <w:r>
              <w:rPr>
                <w:rFonts w:ascii="Calibri" w:hAnsi="Calibri" w:eastAsia="Arial Unicode MS"/>
                <w:b/>
                <w:color w:val="111827"/>
                <w:sz w:val="17"/>
              </w:rPr>
              <w:t>44.8</w:t>
            </w:r>
          </w:p>
        </w:tc>
        <w:tc>
          <w:tcPr>
            <w:tcW w:type="dxa" w:w="1500"/>
            <w:vAlign w:val="center"/>
          </w:tcPr>
          <w:p>
            <w:pPr>
              <w:spacing w:before="0" w:after="0"/>
              <w:jc w:val="center"/>
            </w:pPr>
            <w:r/>
            <w:r>
              <w:rPr>
                <w:rFonts w:ascii="Calibri" w:hAnsi="Calibri" w:eastAsia="Arial Unicode MS"/>
                <w:b w:val="0"/>
                <w:color w:val="111827"/>
                <w:sz w:val="16"/>
              </w:rPr>
              <w:t>风险 2</w:t>
            </w:r>
          </w:p>
        </w:tc>
      </w:tr>
      <w:tr>
        <w:tc>
          <w:tcPr>
            <w:tcW w:type="dxa" w:w="3720"/>
            <w:vAlign w:val="center"/>
          </w:tcPr>
          <w:p>
            <w:pPr>
              <w:spacing w:before="0" w:after="0"/>
            </w:pPr>
            <w:r/>
            <w:r>
              <w:rPr>
                <w:rFonts w:ascii="Calibri" w:hAnsi="Calibri" w:eastAsia="Arial Unicode MS"/>
                <w:b w:val="0"/>
                <w:color w:val="111827"/>
                <w:sz w:val="17"/>
              </w:rPr>
              <w:t>2026-07-20 压力测试：PJM 数据中心容量成本、零售传导与大负荷电价机制</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AI 基础设施</w:t>
            </w:r>
          </w:p>
        </w:tc>
        <w:tc>
          <w:tcPr>
            <w:tcW w:type="dxa" w:w="900"/>
            <w:vAlign w:val="center"/>
          </w:tcPr>
          <w:p>
            <w:pPr>
              <w:spacing w:before="0" w:after="0"/>
              <w:jc w:val="center"/>
            </w:pPr>
            <w:r/>
            <w:r>
              <w:rPr>
                <w:rFonts w:ascii="Calibri" w:hAnsi="Calibri" w:eastAsia="Arial Unicode MS"/>
                <w:b/>
                <w:color w:val="111827"/>
                <w:sz w:val="17"/>
              </w:rPr>
              <w:t>44.5</w:t>
            </w:r>
          </w:p>
        </w:tc>
        <w:tc>
          <w:tcPr>
            <w:tcW w:type="dxa" w:w="1500"/>
            <w:vAlign w:val="center"/>
          </w:tcPr>
          <w:p>
            <w:pPr>
              <w:spacing w:before="0" w:after="0"/>
              <w:jc w:val="center"/>
            </w:pPr>
            <w:r/>
            <w:r>
              <w:rPr>
                <w:rFonts w:ascii="Calibri" w:hAnsi="Calibri" w:eastAsia="Arial Unicode MS"/>
                <w:b w:val="0"/>
                <w:color w:val="111827"/>
                <w:sz w:val="16"/>
              </w:rPr>
              <w:t>风险 2</w:t>
            </w:r>
          </w:p>
        </w:tc>
      </w:tr>
      <w:tr>
        <w:tc>
          <w:tcPr>
            <w:tcW w:type="dxa" w:w="3720"/>
            <w:vAlign w:val="center"/>
          </w:tcPr>
          <w:p>
            <w:pPr>
              <w:spacing w:before="0" w:after="0"/>
            </w:pPr>
            <w:r/>
            <w:r>
              <w:rPr>
                <w:rFonts w:ascii="Calibri" w:hAnsi="Calibri" w:eastAsia="Arial Unicode MS"/>
                <w:b w:val="0"/>
                <w:color w:val="111827"/>
                <w:sz w:val="17"/>
              </w:rPr>
              <w:t>research discussion Session Brief</w:t>
            </w:r>
          </w:p>
        </w:tc>
        <w:tc>
          <w:tcPr>
            <w:tcW w:type="dxa" w:w="1560"/>
            <w:vAlign w:val="center"/>
          </w:tcPr>
          <w:p>
            <w:pPr>
              <w:spacing w:before="0" w:after="0"/>
            </w:pPr>
            <w:r/>
            <w:r>
              <w:rPr>
                <w:rFonts w:ascii="Calibri" w:hAnsi="Calibri" w:eastAsia="Arial Unicode MS"/>
                <w:b w:val="0"/>
                <w:color w:val="111827"/>
                <w:sz w:val="16"/>
              </w:rPr>
              <w:t>未识别</w:t>
            </w:r>
          </w:p>
        </w:tc>
        <w:tc>
          <w:tcPr>
            <w:tcW w:type="dxa" w:w="1680"/>
            <w:vAlign w:val="center"/>
          </w:tcPr>
          <w:p>
            <w:pPr>
              <w:spacing w:before="0" w:after="0"/>
            </w:pPr>
            <w:r/>
            <w:r>
              <w:rPr>
                <w:rFonts w:ascii="Calibri" w:hAnsi="Calibri" w:eastAsia="Arial Unicode MS"/>
                <w:b w:val="0"/>
                <w:color w:val="111827"/>
                <w:sz w:val="16"/>
              </w:rPr>
              <w:t>AI 基础设施</w:t>
            </w:r>
          </w:p>
        </w:tc>
        <w:tc>
          <w:tcPr>
            <w:tcW w:type="dxa" w:w="900"/>
            <w:vAlign w:val="center"/>
          </w:tcPr>
          <w:p>
            <w:pPr>
              <w:spacing w:before="0" w:after="0"/>
              <w:jc w:val="center"/>
            </w:pPr>
            <w:r/>
            <w:r>
              <w:rPr>
                <w:rFonts w:ascii="Calibri" w:hAnsi="Calibri" w:eastAsia="Arial Unicode MS"/>
                <w:b/>
                <w:color w:val="111827"/>
                <w:sz w:val="17"/>
              </w:rPr>
              <w:t>44.4</w:t>
            </w:r>
          </w:p>
        </w:tc>
        <w:tc>
          <w:tcPr>
            <w:tcW w:type="dxa" w:w="1500"/>
            <w:vAlign w:val="center"/>
          </w:tcPr>
          <w:p>
            <w:pPr>
              <w:spacing w:before="0" w:after="0"/>
              <w:jc w:val="center"/>
            </w:pPr>
            <w:r/>
            <w:r>
              <w:rPr>
                <w:rFonts w:ascii="Calibri" w:hAnsi="Calibri" w:eastAsia="Arial Unicode MS"/>
                <w:b w:val="0"/>
                <w:color w:val="111827"/>
                <w:sz w:val="16"/>
              </w:rPr>
              <w:t>风险 1</w:t>
            </w:r>
          </w:p>
        </w:tc>
      </w:tr>
    </w:tbl>
    <w:p>
      <w:pPr>
        <w:spacing w:before="0" w:after="160" w:line="264" w:lineRule="auto"/>
      </w:pPr>
      <w:r>
        <w:rPr>
          <w:rFonts w:ascii="Calibri" w:hAnsi="Calibri" w:eastAsia="Arial Unicode MS"/>
          <w:b w:val="0"/>
          <w:i/>
          <w:color w:val="667085"/>
          <w:sz w:val="17"/>
        </w:rPr>
        <w:t>Table 1. Evidence table excerpt. Full evidence remains available in the interactive daily brief.</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Arial Unicode MS"/>
        <w:color w:val="667085"/>
        <w:sz w:val="17"/>
      </w:rPr>
      <w:t>Generated from local AI Institute archive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eastAsia="Arial Unicode MS"/>
        <w:color w:val="667085"/>
        <w:sz w:val="18"/>
      </w:rPr>
      <w:t>AI Institute Daily Investor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Arial Unicode MS"/>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Arial Unicode MS"/>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Arial Unicode MS"/>
      <w:b w:val="0"/>
      <w:i/>
      <w:iCs/>
      <w:color w:val="4755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reports/archive-aacf648641e0" TargetMode="External"/><Relationship Id="rId13" Type="http://schemas.openxmlformats.org/officeDocument/2006/relationships/hyperlink" Target="reports/archive-220e9e773378" TargetMode="External"/><Relationship Id="rId14" Type="http://schemas.openxmlformats.org/officeDocument/2006/relationships/hyperlink" Target="reports/archive-89fd5c56ac05"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reports/archive-778da304d57a" TargetMode="External"/><Relationship Id="rId20" Type="http://schemas.openxmlformats.org/officeDocument/2006/relationships/hyperlink" Target="reports/archive-731b324da879" TargetMode="External"/><Relationship Id="rId21" Type="http://schemas.openxmlformats.org/officeDocument/2006/relationships/hyperlink" Target="reports/archive-8d3e283c741e" TargetMode="External"/><Relationship Id="rId22" Type="http://schemas.openxmlformats.org/officeDocument/2006/relationships/hyperlink" Target="reports/archive-fc9245e72f9f" TargetMode="External"/><Relationship Id="rId23" Type="http://schemas.openxmlformats.org/officeDocument/2006/relationships/hyperlink" Target="reports/archive-047daba6b595" TargetMode="External"/><Relationship Id="rId24" Type="http://schemas.openxmlformats.org/officeDocument/2006/relationships/hyperlink" Target="reports/archive-29627640e1a7" TargetMode="External"/><Relationship Id="rId25" Type="http://schemas.openxmlformats.org/officeDocument/2006/relationships/hyperlink" Target="reports/archive-349ffb9e27d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Institute Daily Brief 2026-07-20</dc:title>
  <dc:subject>Daily investor research brief</dc:subject>
  <dc:creator>AI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