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240"/>
      </w:pPr>
    </w:p>
    <w:p>
      <w:pPr>
        <w:spacing w:after="240"/>
      </w:pPr>
    </w:p>
    <w:p>
      <w:pPr>
        <w:spacing w:after="360"/>
        <w:jc w:val="center"/>
      </w:pPr>
      <w:r>
        <w:rPr>
          <w:rFonts w:ascii="Calibri" w:hAnsi="Calibri" w:eastAsia="Hiragino Sans GB"/>
          <w:b/>
          <w:color w:val="D85B16"/>
          <w:sz w:val="18"/>
        </w:rPr>
        <w:t>AI INSTITUTE · WEEKLY RESEARCH</w:t>
      </w:r>
    </w:p>
    <w:p>
      <w:pPr>
        <w:spacing w:after="160"/>
        <w:jc w:val="center"/>
      </w:pPr>
      <w:r>
        <w:rPr>
          <w:rFonts w:ascii="Calibri" w:hAnsi="Calibri" w:eastAsia="Hiragino Sans GB"/>
          <w:b/>
          <w:color w:val="111111"/>
          <w:sz w:val="60"/>
        </w:rPr>
        <w:t>AI Institute 周度研究报告</w:t>
      </w:r>
    </w:p>
    <w:p>
      <w:pPr>
        <w:spacing w:after="480"/>
        <w:jc w:val="center"/>
      </w:pPr>
      <w:r>
        <w:rPr>
          <w:rFonts w:ascii="Calibri" w:hAnsi="Calibri" w:eastAsia="Hiragino Sans GB"/>
          <w:b/>
          <w:color w:val="5E6268"/>
          <w:sz w:val="28"/>
        </w:rPr>
        <w:t>2026-W30 AI Institute 周度投资研究全景</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340"/>
        <w:gridCol w:w="2340"/>
        <w:gridCol w:w="2340"/>
        <w:gridCol w:w="2340"/>
      </w:tblGrid>
      <w:tr>
        <w:trPr>
          <w:cantSplit/>
        </w:trPr>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WEEK</w:t>
            </w:r>
          </w:p>
          <w:p>
            <w:pPr>
              <w:spacing w:after="0"/>
              <w:jc w:val="center"/>
            </w:pPr>
            <w:r>
              <w:rPr>
                <w:rFonts w:ascii="Calibri" w:hAnsi="Calibri" w:eastAsia="Hiragino Sans GB"/>
                <w:b/>
                <w:color w:val="111111"/>
                <w:sz w:val="19"/>
              </w:rPr>
              <w:t>2026-W30</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WINDOW</w:t>
            </w:r>
          </w:p>
          <w:p>
            <w:pPr>
              <w:spacing w:after="0"/>
              <w:jc w:val="center"/>
            </w:pPr>
            <w:r>
              <w:rPr>
                <w:rFonts w:ascii="Calibri" w:hAnsi="Calibri" w:eastAsia="Hiragino Sans GB"/>
                <w:b/>
                <w:color w:val="111111"/>
                <w:sz w:val="19"/>
              </w:rPr>
              <w:t>2026-07-14 → 2026-07-20</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EDITION</w:t>
            </w:r>
          </w:p>
          <w:p>
            <w:pPr>
              <w:spacing w:after="0"/>
              <w:jc w:val="center"/>
            </w:pPr>
            <w:r>
              <w:rPr>
                <w:rFonts w:ascii="Calibri" w:hAnsi="Calibri" w:eastAsia="Hiragino Sans GB"/>
                <w:b/>
                <w:color w:val="111111"/>
                <w:sz w:val="19"/>
              </w:rPr>
              <w:t>rolling · REV 5</w:t>
            </w:r>
          </w:p>
        </w:tc>
        <w:tc>
          <w:tcPr>
            <w:tcW w:type="dxa" w:w="2340"/>
            <w:tcMar>
              <w:top w:w="80" w:type="dxa"/>
              <w:bottom w:w="80" w:type="dxa"/>
              <w:start w:w="120" w:type="dxa"/>
              <w:end w:w="120" w:type="dxa"/>
            </w:tcMar>
            <w:vAlign w:val="top"/>
            <w:shd w:fill="F2F4F7"/>
          </w:tcPr>
          <w:p>
            <w:pPr>
              <w:spacing w:after="40"/>
              <w:jc w:val="center"/>
            </w:pPr>
            <w:r>
              <w:rPr>
                <w:rFonts w:ascii="Calibri" w:hAnsi="Calibri" w:eastAsia="Hiragino Sans GB"/>
                <w:b/>
                <w:color w:val="1D5FD1"/>
                <w:sz w:val="15"/>
              </w:rPr>
              <w:t>QUALITY</w:t>
            </w:r>
          </w:p>
          <w:p>
            <w:pPr>
              <w:spacing w:after="0"/>
              <w:jc w:val="center"/>
            </w:pPr>
            <w:r>
              <w:rPr>
                <w:rFonts w:ascii="Calibri" w:hAnsi="Calibri" w:eastAsia="Hiragino Sans GB"/>
                <w:b/>
                <w:color w:val="111111"/>
                <w:sz w:val="19"/>
              </w:rPr>
              <w:t>pass_with_warnings · 67</w:t>
            </w:r>
          </w:p>
        </w:tc>
      </w:tr>
    </w:tbl>
    <w:p>
      <w:pPr>
        <w:spacing w:after="80"/>
      </w:pP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360"/>
      </w:tblGrid>
      <w:tr>
        <w:trPr>
          <w:cantSplit/>
        </w:trPr>
        <w:tc>
          <w:tcPr>
            <w:tcW w:type="dxa" w:w="9360"/>
            <w:tcMar>
              <w:top w:w="80" w:type="dxa"/>
              <w:bottom w:w="80" w:type="dxa"/>
              <w:start w:w="120" w:type="dxa"/>
              <w:end w:w="120" w:type="dxa"/>
            </w:tcMar>
            <w:vAlign w:val="top"/>
            <w:shd w:fill="F8F9FA"/>
          </w:tcPr>
          <w:p>
            <w:pPr>
              <w:spacing w:before="80" w:after="80"/>
            </w:pPr>
            <w:r>
              <w:rPr>
                <w:rFonts w:ascii="Calibri" w:hAnsi="Calibri" w:eastAsia="Hiragino Sans GB"/>
                <w:b/>
                <w:color w:val="D85B16"/>
                <w:sz w:val="17"/>
              </w:rPr>
              <w:t>一句话结论</w:t>
              <w:br/>
            </w:r>
            <w:r>
              <w:rPr>
                <w:rFonts w:ascii="Calibri" w:hAnsi="Calibri" w:eastAsia="Hiragino Sans GB"/>
                <w:b/>
                <w:color w:val="111111"/>
                <w:sz w:val="24"/>
              </w:rPr>
              <w:t>本周的核心不是追逐研究热度，而是把 AI 电力/电网设备 与 A股半导体/两融负 Gamma 拆成可执行、可证伪的赛道和标的判断。</w:t>
            </w:r>
          </w:p>
        </w:tc>
      </w:tr>
    </w:tbl>
    <w:p>
      <w:pPr>
        <w:spacing w:before="320" w:after="0"/>
        <w:jc w:val="center"/>
      </w:pPr>
      <w:hyperlink r:id="rId11">
        <w:r>
          <w:rPr>
            <w:color w:val="1D5FD1"/>
            <w:u w:val="single"/>
            <w:sz w:val="18"/>
            <w:szCs w:val="18"/>
            <w:rFonts w:ascii="Calibri" w:hAnsi="Calibri" w:eastAsia="Hiragino Sans GB"/>
          </w:rPr>
          <w:t>打开受保护的在线周报</w:t>
        </w:r>
      </w:hyperlink>
    </w:p>
    <w:p>
      <w:r>
        <w:br w:type="page"/>
      </w:r>
    </w:p>
    <w:p>
      <w:pPr>
        <w:pStyle w:val="SectionLabel"/>
      </w:pPr>
      <w:r>
        <w:rPr>
          <w:rFonts w:ascii="Calibri" w:hAnsi="Calibri" w:eastAsia="Hiragino Sans GB"/>
          <w:b/>
          <w:color w:val="1D5FD1"/>
          <w:sz w:val="17"/>
        </w:rPr>
        <w:t>DECISION FIRST</w:t>
      </w:r>
    </w:p>
    <w:p>
      <w:pPr>
        <w:pStyle w:val="Heading1"/>
      </w:pPr>
      <w:r>
        <w:t>1. 执行摘要</w:t>
      </w:r>
    </w:p>
    <w:p>
      <w:pPr>
        <w:keepLines w:val="0"/>
      </w:pPr>
      <w:r>
        <w:rPr>
          <w:rFonts w:ascii="Calibri" w:hAnsi="Calibri" w:eastAsia="Hiragino Sans GB"/>
          <w:b w:val="0"/>
          <w:color w:val="111111"/>
          <w:sz w:val="22"/>
        </w:rPr>
        <w:t>AI基础设施电力与信用瓶颈的宏观通胀与资本开支效应：对美国结构性通胀、... 与 硅电锁死与再通胀：AI算力电力通胀向核心PCE的传导路径与降息周期的利率定价博弈 构成本周最强的证据主轴，而 A股半导体ETF资金流、融资余额与半导体诱多风险吸收阈值 提供了必要的反向约束。公开研究合约显示，优先级正在从宽泛主题向可交付、可验证的产业链环节集中；组合层面应先读取 TRIM AI 算力半导体、TRIM 中国权益流动性、HOLD A股红利/硬科技杠铃，再用后续订单、交付、政策与市场数据确认。与 2026-W29 相比，本周有 1 项操作变化、1 项赛道立场变化。</w:t>
      </w:r>
    </w:p>
    <w:p>
      <w:pPr>
        <w:keepLines/>
      </w:pPr>
      <w:r>
        <w:rPr>
          <w:rFonts w:ascii="Calibri" w:hAnsi="Calibri" w:eastAsia="Hiragino Sans GB"/>
          <w:b w:val="0"/>
          <w:color w:val="5E6268"/>
          <w:sz w:val="22"/>
        </w:rPr>
        <w:t>周报的价值不在于给出更多观点，而在于留下可复查的决策、证据和证伪条件。下一周若触发器没有出现，应降低置信度，而不是用新的叙事延长旧判断。</w:t>
      </w:r>
    </w:p>
    <w:p>
      <w:pPr>
        <w:pStyle w:val="Heading1"/>
      </w:pPr>
      <w:r>
        <w:t>2. 本周操作结论</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850"/>
        <w:gridCol w:w="2050"/>
        <w:gridCol w:w="4200"/>
        <w:gridCol w:w="2260"/>
      </w:tblGrid>
      <w:tr>
        <w:trPr>
          <w:cantSplit/>
          <w:tblHeader w:val="true"/>
        </w:trPr>
        <w:tc>
          <w:tcPr>
            <w:tcW w:type="dxa" w:w="8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ACTION</w:t>
            </w:r>
          </w:p>
        </w:tc>
        <w:tc>
          <w:tcPr>
            <w:tcW w:type="dxa" w:w="20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TARGET</w:t>
            </w:r>
          </w:p>
        </w:tc>
        <w:tc>
          <w:tcPr>
            <w:tcW w:type="dxa" w:w="42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DRIVER / CONFIRMATION</w:t>
            </w:r>
          </w:p>
        </w:tc>
        <w:tc>
          <w:tcPr>
            <w:tcW w:type="dxa" w:w="22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INVALIDATION</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C92A2A"/>
                <w:sz w:val="17"/>
              </w:rPr>
              <w:t>TRIM</w:t>
            </w:r>
          </w:p>
        </w:tc>
        <w:tc>
          <w:tcPr>
            <w:tcW w:type="dxa" w:w="2050"/>
            <w:tcMar>
              <w:top w:w="80" w:type="dxa"/>
              <w:bottom w:w="80" w:type="dxa"/>
              <w:start w:w="120" w:type="dxa"/>
              <w:end w:w="120" w:type="dxa"/>
            </w:tcMar>
            <w:vAlign w:val="top"/>
          </w:tcPr>
          <w:p>
            <w:pPr>
              <w:spacing w:after="40"/>
            </w:pPr>
            <w:hyperlink r:id="rId12">
              <w:r>
                <w:rPr>
                  <w:color w:val="1D5FD1"/>
                  <w:u w:val="single"/>
                  <w:b/>
                  <w:sz w:val="17"/>
                  <w:szCs w:val="17"/>
                  <w:rFonts w:ascii="Calibri" w:hAnsi="Calibri" w:eastAsia="Hiragino Sans GB"/>
                </w:rPr>
                <w:t>AI 算力半导体</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AI算力需求仍强，但收益正在从单一加速器向存储、定制芯片和云平台扩散；配置应侧重订单、产品结构和自由现金流，控制估值集中风险。 风险雷达：降权跟踪：适合作为风险雷达，不适合作为无条件加仓理由。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C92A2A"/>
                <w:sz w:val="17"/>
              </w:rPr>
              <w:t>TRIM</w:t>
            </w:r>
          </w:p>
        </w:tc>
        <w:tc>
          <w:tcPr>
            <w:tcW w:type="dxa" w:w="2050"/>
            <w:tcMar>
              <w:top w:w="80" w:type="dxa"/>
              <w:bottom w:w="80" w:type="dxa"/>
              <w:start w:w="120" w:type="dxa"/>
              <w:end w:w="120" w:type="dxa"/>
            </w:tcMar>
            <w:vAlign w:val="top"/>
          </w:tcPr>
          <w:p>
            <w:pPr>
              <w:spacing w:after="40"/>
            </w:pPr>
            <w:hyperlink r:id="rId13">
              <w:r>
                <w:rPr>
                  <w:color w:val="1D5FD1"/>
                  <w:u w:val="single"/>
                  <w:b/>
                  <w:sz w:val="17"/>
                  <w:szCs w:val="17"/>
                  <w:rFonts w:ascii="Calibri" w:hAnsi="Calibri" w:eastAsia="Hiragino Sans GB"/>
                </w:rPr>
                <w:t>中国权益流动性</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风险雷达：降权跟踪：适合作为风险雷达，不适合作为无条件加仓理由。 确认：期权伽马和 ETF 资金是否放大尾盘流动性</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4">
              <w:r>
                <w:rPr>
                  <w:color w:val="1D5FD1"/>
                  <w:u w:val="single"/>
                  <w:b/>
                  <w:sz w:val="17"/>
                  <w:szCs w:val="17"/>
                  <w:rFonts w:ascii="Calibri" w:hAnsi="Calibri" w:eastAsia="Hiragino Sans GB"/>
                </w:rPr>
                <w:t>A股红利/硬科技杠铃</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确认：融资余额、ETF 申赎和北向资金是否同向</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5">
              <w:r>
                <w:rPr>
                  <w:color w:val="1D5FD1"/>
                  <w:u w:val="single"/>
                  <w:b/>
                  <w:sz w:val="17"/>
                  <w:szCs w:val="17"/>
                  <w:rFonts w:ascii="Calibri" w:hAnsi="Calibri" w:eastAsia="Hiragino Sans GB"/>
                </w:rPr>
                <w:t>AI 再通胀/利率敏感资产</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确认：CPI/PCE 与油价是否重新推高实际利率</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支持证据停止更新，价格或资金面先于基本面走弱。</w:t>
            </w:r>
          </w:p>
        </w:tc>
      </w:tr>
      <w:tr>
        <w:trPr>
          <w:cantSplit/>
        </w:trPr>
        <w:tc>
          <w:tcPr>
            <w:tcW w:type="dxa" w:w="850"/>
            <w:tcMar>
              <w:top w:w="80" w:type="dxa"/>
              <w:bottom w:w="80" w:type="dxa"/>
              <w:start w:w="120" w:type="dxa"/>
              <w:end w:w="120" w:type="dxa"/>
            </w:tcMar>
            <w:vAlign w:val="top"/>
          </w:tcPr>
          <w:p>
            <w:pPr>
              <w:spacing w:before="0" w:after="0" w:line="252" w:lineRule="auto"/>
            </w:pPr>
            <w:r>
              <w:rPr>
                <w:rFonts w:ascii="Calibri" w:hAnsi="Calibri" w:eastAsia="Hiragino Sans GB"/>
                <w:b/>
                <w:color w:val="1D5FD1"/>
                <w:sz w:val="17"/>
              </w:rPr>
              <w:t>HOLD</w:t>
            </w:r>
          </w:p>
        </w:tc>
        <w:tc>
          <w:tcPr>
            <w:tcW w:type="dxa" w:w="2050"/>
            <w:tcMar>
              <w:top w:w="80" w:type="dxa"/>
              <w:bottom w:w="80" w:type="dxa"/>
              <w:start w:w="120" w:type="dxa"/>
              <w:end w:w="120" w:type="dxa"/>
            </w:tcMar>
            <w:vAlign w:val="top"/>
          </w:tcPr>
          <w:p>
            <w:pPr>
              <w:spacing w:after="40"/>
            </w:pPr>
            <w:hyperlink r:id="rId16">
              <w:r>
                <w:rPr>
                  <w:color w:val="1D5FD1"/>
                  <w:u w:val="single"/>
                  <w:b/>
                  <w:sz w:val="17"/>
                  <w:szCs w:val="17"/>
                  <w:rFonts w:ascii="Calibri" w:hAnsi="Calibri" w:eastAsia="Hiragino Sans GB"/>
                </w:rPr>
                <w:t>Mag7 AI 平台再分层</w:t>
              </w:r>
            </w:hyperlink>
            <w:r>
              <w:rPr>
                <w:rFonts w:ascii="Calibri" w:hAnsi="Calibri" w:eastAsia="Hiragino Sans GB"/>
                <w:color w:val="5E6268"/>
                <w:sz w:val="15"/>
              </w:rPr>
              <w:br/>
              <w:t>lane · 2026-07-20 · 92%</w:t>
            </w:r>
          </w:p>
        </w:tc>
        <w:tc>
          <w:tcPr>
            <w:tcW w:type="dxa" w:w="420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6"/>
              </w:rPr>
              <w:t>观察等待：先放入观察池，只在证据密度和价格确认同时改善时进入组合。 确认：云厂商 capex 指引是否继续上修</w:t>
            </w:r>
          </w:p>
        </w:tc>
        <w:tc>
          <w:tcPr>
            <w:tcW w:type="dxa" w:w="2260"/>
            <w:tcMar>
              <w:top w:w="80" w:type="dxa"/>
              <w:bottom w:w="80" w:type="dxa"/>
              <w:start w:w="120" w:type="dxa"/>
              <w:end w:w="120" w:type="dxa"/>
            </w:tcMar>
            <w:vAlign w:val="top"/>
          </w:tcPr>
          <w:p>
            <w:pPr>
              <w:spacing w:before="0" w:after="0" w:line="252" w:lineRule="auto"/>
            </w:pPr>
            <w:r>
              <w:rPr>
                <w:rFonts w:ascii="Calibri" w:hAnsi="Calibri" w:eastAsia="Hiragino Sans GB"/>
                <w:b w:val="0"/>
                <w:color w:val="C92A2A"/>
                <w:sz w:val="16"/>
              </w:rPr>
              <w:t>风险事件继续高于支持事件，且最新证据没有修复。</w:t>
            </w:r>
          </w:p>
        </w:tc>
      </w:tr>
    </w:tbl>
    <w:p>
      <w:pPr>
        <w:pStyle w:val="TableCitation"/>
      </w:pPr>
      <w:r>
        <w:t>基于公开研究合约的研究台操作视图，不构成投资建议；完整客观命中率与真实组合交易需要独立 Panorama App/组合账本读取。</w:t>
      </w:r>
    </w:p>
    <w:p>
      <w:pPr>
        <w:pStyle w:val="Heading1"/>
      </w:pPr>
      <w:r>
        <w:t>3. 决策解释：从证据到组合</w:t>
      </w:r>
    </w:p>
    <w:p>
      <w:pPr>
        <w:pStyle w:val="Heading2"/>
        <w:keepNext/>
      </w:pPr>
      <w:r>
        <w:t>01 · TRIM AI 算力半导体：NAND盈利弹性由价格与产品结构主导，而非单纯出货增长</w:t>
      </w:r>
    </w:p>
    <w:p>
      <w:pPr>
        <w:keepLines/>
      </w:pPr>
      <w:r>
        <w:rPr>
          <w:rFonts w:ascii="Calibri" w:hAnsi="Calibri" w:eastAsia="Hiragino Sans GB"/>
          <w:b w:val="0"/>
          <w:color w:val="111111"/>
          <w:sz w:val="22"/>
        </w:rPr>
        <w:t>AI算力需求仍强，但收益正在从单一加速器向存储、定制芯片和云平台扩散；配置应侧重订单、产品结构和自由现金流，控制估值集中风险。 风险雷达：降权跟踪：适合作为风险雷达，不适合作为无条件加仓理由。 本周证据账本把该判断连接到 5 份公开报告；其有效性仍取决于“CPI/PCE 与油价是否重新推高实际利率”。</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AI 算力半导体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7">
        <w:r>
          <w:rPr>
            <w:color w:val="1D5FD1"/>
            <w:u w:val="single"/>
            <w:sz w:val="17"/>
            <w:szCs w:val="17"/>
            <w:rFonts w:ascii="Calibri" w:hAnsi="Calibri" w:eastAsia="Hiragino Sans GB"/>
          </w:rPr>
          <w:t>R1</w:t>
        </w:r>
      </w:hyperlink>
      <w:r>
        <w:t xml:space="preserve"> · </w:t>
      </w:r>
      <w:hyperlink r:id="rId18">
        <w:r>
          <w:rPr>
            <w:color w:val="1D5FD1"/>
            <w:u w:val="single"/>
            <w:sz w:val="17"/>
            <w:szCs w:val="17"/>
            <w:rFonts w:ascii="Calibri" w:hAnsi="Calibri" w:eastAsia="Hiragino Sans GB"/>
          </w:rPr>
          <w:t>R2</w:t>
        </w:r>
      </w:hyperlink>
      <w:r>
        <w:t xml:space="preserve"> · </w:t>
      </w:r>
      <w:hyperlink r:id="rId19">
        <w:r>
          <w:rPr>
            <w:color w:val="1D5FD1"/>
            <w:u w:val="single"/>
            <w:sz w:val="17"/>
            <w:szCs w:val="17"/>
            <w:rFonts w:ascii="Calibri" w:hAnsi="Calibri" w:eastAsia="Hiragino Sans GB"/>
          </w:rPr>
          <w:t>R3</w:t>
        </w:r>
      </w:hyperlink>
      <w:r>
        <w:t xml:space="preserve"> · </w:t>
      </w:r>
      <w:hyperlink r:id="rId20">
        <w:r>
          <w:rPr>
            <w:color w:val="1D5FD1"/>
            <w:u w:val="single"/>
            <w:sz w:val="17"/>
            <w:szCs w:val="17"/>
            <w:rFonts w:ascii="Calibri" w:hAnsi="Calibri" w:eastAsia="Hiragino Sans GB"/>
          </w:rPr>
          <w:t>对应 Thesis</w:t>
        </w:r>
      </w:hyperlink>
    </w:p>
    <w:p>
      <w:pPr>
        <w:pStyle w:val="Heading2"/>
        <w:keepNext/>
      </w:pPr>
      <w:r>
        <w:t>02 · TRIM 中国权益流动性：中国资产定价仍受政策、流动性与风险偏好共同驱动</w:t>
      </w:r>
    </w:p>
    <w:p>
      <w:pPr>
        <w:keepLines/>
      </w:pPr>
      <w:r>
        <w:rPr>
          <w:rFonts w:ascii="Calibri" w:hAnsi="Calibri" w:eastAsia="Hiragino Sans GB"/>
          <w:b w:val="0"/>
          <w:color w:val="111111"/>
          <w:sz w:val="22"/>
        </w:rPr>
        <w:t>风险雷达：降权跟踪：适合作为风险雷达，不适合作为无条件加仓理由。 本周证据账本把该判断连接到 5 份公开报告；其有效性仍取决于“期权伽马和 ETF 资金是否放大尾盘流动性”。</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中国权益流动性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21">
        <w:r>
          <w:rPr>
            <w:color w:val="1D5FD1"/>
            <w:u w:val="single"/>
            <w:sz w:val="17"/>
            <w:szCs w:val="17"/>
            <w:rFonts w:ascii="Calibri" w:hAnsi="Calibri" w:eastAsia="Hiragino Sans GB"/>
          </w:rPr>
          <w:t>R1</w:t>
        </w:r>
      </w:hyperlink>
      <w:r>
        <w:t xml:space="preserve"> · </w:t>
      </w:r>
      <w:hyperlink r:id="rId22">
        <w:r>
          <w:rPr>
            <w:color w:val="1D5FD1"/>
            <w:u w:val="single"/>
            <w:sz w:val="17"/>
            <w:szCs w:val="17"/>
            <w:rFonts w:ascii="Calibri" w:hAnsi="Calibri" w:eastAsia="Hiragino Sans GB"/>
          </w:rPr>
          <w:t>R2</w:t>
        </w:r>
      </w:hyperlink>
      <w:r>
        <w:t xml:space="preserve"> · </w:t>
      </w:r>
      <w:hyperlink r:id="rId19">
        <w:r>
          <w:rPr>
            <w:color w:val="1D5FD1"/>
            <w:u w:val="single"/>
            <w:sz w:val="17"/>
            <w:szCs w:val="17"/>
            <w:rFonts w:ascii="Calibri" w:hAnsi="Calibri" w:eastAsia="Hiragino Sans GB"/>
          </w:rPr>
          <w:t>R3</w:t>
        </w:r>
      </w:hyperlink>
      <w:r>
        <w:t xml:space="preserve"> · </w:t>
      </w:r>
      <w:hyperlink r:id="rId23">
        <w:r>
          <w:rPr>
            <w:color w:val="1D5FD1"/>
            <w:u w:val="single"/>
            <w:sz w:val="17"/>
            <w:szCs w:val="17"/>
            <w:rFonts w:ascii="Calibri" w:hAnsi="Calibri" w:eastAsia="Hiragino Sans GB"/>
          </w:rPr>
          <w:t>对应 Thesis</w:t>
        </w:r>
      </w:hyperlink>
    </w:p>
    <w:p>
      <w:pPr>
        <w:pStyle w:val="Heading2"/>
        <w:keepNext/>
      </w:pPr>
      <w:r>
        <w:t>03 · HOLD A股红利/硬科技杠铃：A 股红利与硬科技杠铃仍是政策、利率和风险偏好的组合表达</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份公开报告；其有效性仍取决于“融资余额、ETF 申赎和北向资金是否同向”。</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A股红利/硬科技杠铃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24">
        <w:r>
          <w:rPr>
            <w:color w:val="1D5FD1"/>
            <w:u w:val="single"/>
            <w:sz w:val="17"/>
            <w:szCs w:val="17"/>
            <w:rFonts w:ascii="Calibri" w:hAnsi="Calibri" w:eastAsia="Hiragino Sans GB"/>
          </w:rPr>
          <w:t>R1</w:t>
        </w:r>
      </w:hyperlink>
      <w:r>
        <w:t xml:space="preserve"> · </w:t>
      </w:r>
      <w:hyperlink r:id="rId25">
        <w:r>
          <w:rPr>
            <w:color w:val="1D5FD1"/>
            <w:u w:val="single"/>
            <w:sz w:val="17"/>
            <w:szCs w:val="17"/>
            <w:rFonts w:ascii="Calibri" w:hAnsi="Calibri" w:eastAsia="Hiragino Sans GB"/>
          </w:rPr>
          <w:t>R2</w:t>
        </w:r>
      </w:hyperlink>
      <w:r>
        <w:t xml:space="preserve"> · </w:t>
      </w:r>
      <w:hyperlink r:id="rId21">
        <w:r>
          <w:rPr>
            <w:color w:val="1D5FD1"/>
            <w:u w:val="single"/>
            <w:sz w:val="17"/>
            <w:szCs w:val="17"/>
            <w:rFonts w:ascii="Calibri" w:hAnsi="Calibri" w:eastAsia="Hiragino Sans GB"/>
          </w:rPr>
          <w:t>R3</w:t>
        </w:r>
      </w:hyperlink>
      <w:r>
        <w:t xml:space="preserve"> · </w:t>
      </w:r>
      <w:hyperlink r:id="rId26">
        <w:r>
          <w:rPr>
            <w:color w:val="1D5FD1"/>
            <w:u w:val="single"/>
            <w:sz w:val="17"/>
            <w:szCs w:val="17"/>
            <w:rFonts w:ascii="Calibri" w:hAnsi="Calibri" w:eastAsia="Hiragino Sans GB"/>
          </w:rPr>
          <w:t>对应 Thesis</w:t>
        </w:r>
      </w:hyperlink>
    </w:p>
    <w:p>
      <w:pPr>
        <w:pStyle w:val="Heading2"/>
        <w:keepNext/>
      </w:pPr>
      <w:r>
        <w:t>04 · HOLD AI 再通胀/利率敏感资产：AI 资本开支通过能源、设备和利率进入通胀定价</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份公开报告；其有效性仍取决于“CPI/PCE 与油价是否重新推高实际利率”。</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AI 再通胀/利率敏感资产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支持证据停止更新，价格或资金面先于基本面走弱。</w:t>
            </w:r>
          </w:p>
        </w:tc>
      </w:tr>
    </w:tbl>
    <w:p>
      <w:pPr>
        <w:pStyle w:val="TableCitation"/>
      </w:pPr>
      <w:r>
        <w:t>证据：</w:t>
      </w:r>
      <w:hyperlink r:id="rId17">
        <w:r>
          <w:rPr>
            <w:color w:val="1D5FD1"/>
            <w:u w:val="single"/>
            <w:sz w:val="17"/>
            <w:szCs w:val="17"/>
            <w:rFonts w:ascii="Calibri" w:hAnsi="Calibri" w:eastAsia="Hiragino Sans GB"/>
          </w:rPr>
          <w:t>R1</w:t>
        </w:r>
      </w:hyperlink>
      <w:r>
        <w:t xml:space="preserve"> · </w:t>
      </w:r>
      <w:hyperlink r:id="rId21">
        <w:r>
          <w:rPr>
            <w:color w:val="1D5FD1"/>
            <w:u w:val="single"/>
            <w:sz w:val="17"/>
            <w:szCs w:val="17"/>
            <w:rFonts w:ascii="Calibri" w:hAnsi="Calibri" w:eastAsia="Hiragino Sans GB"/>
          </w:rPr>
          <w:t>R2</w:t>
        </w:r>
      </w:hyperlink>
      <w:r>
        <w:t xml:space="preserve"> · </w:t>
      </w:r>
      <w:hyperlink r:id="rId18">
        <w:r>
          <w:rPr>
            <w:color w:val="1D5FD1"/>
            <w:u w:val="single"/>
            <w:sz w:val="17"/>
            <w:szCs w:val="17"/>
            <w:rFonts w:ascii="Calibri" w:hAnsi="Calibri" w:eastAsia="Hiragino Sans GB"/>
          </w:rPr>
          <w:t>R3</w:t>
        </w:r>
      </w:hyperlink>
      <w:r>
        <w:t xml:space="preserve"> · </w:t>
      </w:r>
      <w:hyperlink r:id="rId27">
        <w:r>
          <w:rPr>
            <w:color w:val="1D5FD1"/>
            <w:u w:val="single"/>
            <w:sz w:val="17"/>
            <w:szCs w:val="17"/>
            <w:rFonts w:ascii="Calibri" w:hAnsi="Calibri" w:eastAsia="Hiragino Sans GB"/>
          </w:rPr>
          <w:t>对应 Thesis</w:t>
        </w:r>
      </w:hyperlink>
    </w:p>
    <w:p>
      <w:pPr>
        <w:pStyle w:val="Heading2"/>
        <w:keepNext/>
      </w:pPr>
      <w:r>
        <w:t>05 · HOLD Mag7 AI 平台再分层：Mag7 在 AI 时代从平台垄断转向基础设施再分层</w:t>
      </w:r>
    </w:p>
    <w:p>
      <w:pPr>
        <w:keepLines/>
      </w:pPr>
      <w:r>
        <w:rPr>
          <w:rFonts w:ascii="Calibri" w:hAnsi="Calibri" w:eastAsia="Hiragino Sans GB"/>
          <w:b w:val="0"/>
          <w:color w:val="111111"/>
          <w:sz w:val="22"/>
        </w:rPr>
        <w:t>观察等待：先放入观察池，只在证据密度和价格确认同时改善时进入组合。 本周证据账本把该判断连接到 5 份公开报告；其有效性仍取决于“云厂商 capex 指引是否继续上修”。</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500"/>
        <w:gridCol w:w="7860"/>
      </w:tblGrid>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7"/>
              </w:rPr>
              <w:t>组合含义</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在 Mag7 AI 平台再分层 内优先保留证据与兑现路径清晰的标的，并按证伪条件控制暴露。</w:t>
            </w:r>
          </w:p>
        </w:tc>
      </w:tr>
      <w:tr>
        <w:trPr>
          <w:cantSplit/>
        </w:trPr>
        <w:tc>
          <w:tcPr>
            <w:tcW w:type="dxa" w:w="1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7"/>
              </w:rPr>
              <w:t>证伪条件</w:t>
            </w:r>
          </w:p>
        </w:tc>
        <w:tc>
          <w:tcPr>
            <w:tcW w:type="dxa" w:w="786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风险事件继续高于支持事件，且最新证据没有修复。</w:t>
            </w:r>
          </w:p>
        </w:tc>
      </w:tr>
    </w:tbl>
    <w:p>
      <w:pPr>
        <w:pStyle w:val="TableCitation"/>
      </w:pPr>
      <w:r>
        <w:t>证据：</w:t>
      </w:r>
      <w:hyperlink r:id="rId17">
        <w:r>
          <w:rPr>
            <w:color w:val="1D5FD1"/>
            <w:u w:val="single"/>
            <w:sz w:val="17"/>
            <w:szCs w:val="17"/>
            <w:rFonts w:ascii="Calibri" w:hAnsi="Calibri" w:eastAsia="Hiragino Sans GB"/>
          </w:rPr>
          <w:t>R1</w:t>
        </w:r>
      </w:hyperlink>
      <w:r>
        <w:t xml:space="preserve"> · </w:t>
      </w:r>
      <w:hyperlink r:id="rId21">
        <w:r>
          <w:rPr>
            <w:color w:val="1D5FD1"/>
            <w:u w:val="single"/>
            <w:sz w:val="17"/>
            <w:szCs w:val="17"/>
            <w:rFonts w:ascii="Calibri" w:hAnsi="Calibri" w:eastAsia="Hiragino Sans GB"/>
          </w:rPr>
          <w:t>R2</w:t>
        </w:r>
      </w:hyperlink>
      <w:r>
        <w:t xml:space="preserve"> · </w:t>
      </w:r>
      <w:hyperlink r:id="rId18">
        <w:r>
          <w:rPr>
            <w:color w:val="1D5FD1"/>
            <w:u w:val="single"/>
            <w:sz w:val="17"/>
            <w:szCs w:val="17"/>
            <w:rFonts w:ascii="Calibri" w:hAnsi="Calibri" w:eastAsia="Hiragino Sans GB"/>
          </w:rPr>
          <w:t>R3</w:t>
        </w:r>
      </w:hyperlink>
      <w:r>
        <w:t xml:space="preserve"> · </w:t>
      </w:r>
      <w:hyperlink r:id="rId28">
        <w:r>
          <w:rPr>
            <w:color w:val="1D5FD1"/>
            <w:u w:val="single"/>
            <w:sz w:val="17"/>
            <w:szCs w:val="17"/>
            <w:rFonts w:ascii="Calibri" w:hAnsi="Calibri" w:eastAsia="Hiragino Sans GB"/>
          </w:rPr>
          <w:t>对应 Thesis</w:t>
        </w:r>
      </w:hyperlink>
    </w:p>
    <w:p>
      <w:pPr>
        <w:pStyle w:val="Heading1"/>
      </w:pPr>
      <w:r>
        <w:t>4. 本周真正改变了什么</w:t>
      </w:r>
    </w:p>
    <w:p>
      <w:pPr>
        <w:keepNext/>
      </w:pPr>
      <w:r>
        <w:rPr>
          <w:rFonts w:ascii="Calibri" w:hAnsi="Calibri" w:eastAsia="Hiragino Sans GB"/>
          <w:b/>
          <w:color w:val="D85B16"/>
          <w:sz w:val="18"/>
        </w:rPr>
        <w:t xml:space="preserve">01  SPLIT  </w:t>
      </w:r>
      <w:r>
        <w:rPr>
          <w:rFonts w:ascii="Calibri" w:hAnsi="Calibri" w:eastAsia="Hiragino Sans GB"/>
          <w:b/>
          <w:color w:val="111111"/>
          <w:sz w:val="22"/>
        </w:rPr>
        <w:t>主线进一步集中到 A股红利/硬科技杠铃</w:t>
      </w:r>
    </w:p>
    <w:p>
      <w:pPr>
        <w:keepLines w:val="0"/>
      </w:pPr>
      <w:r>
        <w:rPr>
          <w:rFonts w:ascii="Calibri" w:hAnsi="Calibri" w:eastAsia="Hiragino Sans GB"/>
          <w:b w:val="0"/>
          <w:color w:val="111111"/>
          <w:sz w:val="22"/>
        </w:rPr>
        <w:t>赛道：A股红利/硬科技杠铃。候选观察标的：510880.SH, 601398.SH, 600900.SH, 601088.SH, 600941.SH, 588000.SH, 688981.SH。当前共有 40 条证据、2 位分析师和 8 条风险信号指向该判断；主导链条为 宏观通胀传导。该主题应作为可跟踪投资假设，而不是孤立结论。 本周新增 8 条主线事件，其中支持 4 条、风险 4 条；当前组合含义是 先放入观察池，只在证据密度和价格确认同时改善时进入组合。</w:t>
      </w:r>
    </w:p>
    <w:p>
      <w:pPr>
        <w:pStyle w:val="TableCitation"/>
      </w:pPr>
      <w:r>
        <w:t>关联标的：</w:t>
      </w:r>
      <w:hyperlink r:id="rId29">
        <w:r>
          <w:rPr>
            <w:color w:val="1D5FD1"/>
            <w:u w:val="single"/>
            <w:sz w:val="17"/>
            <w:szCs w:val="17"/>
            <w:rFonts w:ascii="Calibri" w:hAnsi="Calibri" w:eastAsia="Hiragino Sans GB"/>
          </w:rPr>
          <w:t>600900.SH</w:t>
        </w:r>
      </w:hyperlink>
      <w:r>
        <w:t xml:space="preserve"> · </w:t>
      </w:r>
      <w:hyperlink r:id="rId30">
        <w:r>
          <w:rPr>
            <w:color w:val="1D5FD1"/>
            <w:u w:val="single"/>
            <w:sz w:val="17"/>
            <w:szCs w:val="17"/>
            <w:rFonts w:ascii="Calibri" w:hAnsi="Calibri" w:eastAsia="Hiragino Sans GB"/>
          </w:rPr>
          <w:t>601398.SH</w:t>
        </w:r>
      </w:hyperlink>
      <w:r>
        <w:t xml:space="preserve"> · </w:t>
      </w:r>
      <w:hyperlink r:id="rId31">
        <w:r>
          <w:rPr>
            <w:color w:val="1D5FD1"/>
            <w:u w:val="single"/>
            <w:sz w:val="17"/>
            <w:szCs w:val="17"/>
            <w:rFonts w:ascii="Calibri" w:hAnsi="Calibri" w:eastAsia="Hiragino Sans GB"/>
          </w:rPr>
          <w:t>601088.SH</w:t>
        </w:r>
      </w:hyperlink>
      <w:r>
        <w:t xml:space="preserve"> · </w:t>
      </w:r>
      <w:hyperlink r:id="rId32">
        <w:r>
          <w:rPr>
            <w:color w:val="1D5FD1"/>
            <w:u w:val="single"/>
            <w:sz w:val="17"/>
            <w:szCs w:val="17"/>
            <w:rFonts w:ascii="Calibri" w:hAnsi="Calibri" w:eastAsia="Hiragino Sans GB"/>
          </w:rPr>
          <w:t>600941.SH</w:t>
        </w:r>
      </w:hyperlink>
      <w:r>
        <w:t xml:space="preserve"> · </w:t>
      </w:r>
      <w:hyperlink r:id="rId33">
        <w:r>
          <w:rPr>
            <w:color w:val="1D5FD1"/>
            <w:u w:val="single"/>
            <w:sz w:val="17"/>
            <w:szCs w:val="17"/>
            <w:rFonts w:ascii="Calibri" w:hAnsi="Calibri" w:eastAsia="Hiragino Sans GB"/>
          </w:rPr>
          <w:t>588000.SH</w:t>
        </w:r>
      </w:hyperlink>
      <w:r>
        <w:t xml:space="preserve"> · </w:t>
      </w:r>
      <w:hyperlink r:id="rId34">
        <w:r>
          <w:rPr>
            <w:color w:val="1D5FD1"/>
            <w:u w:val="single"/>
            <w:sz w:val="17"/>
            <w:szCs w:val="17"/>
            <w:rFonts w:ascii="Calibri" w:hAnsi="Calibri" w:eastAsia="Hiragino Sans GB"/>
          </w:rPr>
          <w:t>688981.SH</w:t>
        </w:r>
      </w:hyperlink>
    </w:p>
    <w:p>
      <w:pPr>
        <w:keepNext/>
      </w:pPr>
      <w:r>
        <w:rPr>
          <w:rFonts w:ascii="Calibri" w:hAnsi="Calibri" w:eastAsia="Hiragino Sans GB"/>
          <w:b/>
          <w:color w:val="D85B16"/>
          <w:sz w:val="18"/>
        </w:rPr>
        <w:t xml:space="preserve">02  WEAKENED  </w:t>
      </w:r>
      <w:r>
        <w:rPr>
          <w:rFonts w:ascii="Calibri" w:hAnsi="Calibri" w:eastAsia="Hiragino Sans GB"/>
          <w:b/>
          <w:color w:val="111111"/>
          <w:sz w:val="22"/>
        </w:rPr>
        <w:t>AI 资本开支通过能源、设备和利率进入通胀定价 的本周证据更新</w:t>
      </w:r>
    </w:p>
    <w:p>
      <w:pPr>
        <w:keepLines w:val="0"/>
      </w:pPr>
      <w:r>
        <w:rPr>
          <w:rFonts w:ascii="Calibri" w:hAnsi="Calibri" w:eastAsia="Hiragino Sans GB"/>
          <w:b w:val="0"/>
          <w:color w:val="111111"/>
          <w:sz w:val="22"/>
        </w:rPr>
        <w:t>赛道：AI 再通胀/利率敏感资产。候选观察标的：XLE, XLU, TLT, GLD, JPM, NEE。当前共有 40 条证据、3 位分析师和 8 条风险信号指向该判断；主导链条为 宏观通胀传导。该主题应作为可跟踪投资假设，而不是孤立结论。 本周新增 8 条主线事件，其中支持 3 条、风险 5 条；当前组合含义是 先放入观察池，只在证据密度和价格确认同时改善时进入组合。</w:t>
      </w:r>
    </w:p>
    <w:p>
      <w:pPr>
        <w:pStyle w:val="TableCitation"/>
      </w:pPr>
      <w:r>
        <w:t>关联标的：</w:t>
      </w:r>
      <w:hyperlink r:id="rId35">
        <w:r>
          <w:rPr>
            <w:color w:val="1D5FD1"/>
            <w:u w:val="single"/>
            <w:sz w:val="17"/>
            <w:szCs w:val="17"/>
            <w:rFonts w:ascii="Calibri" w:hAnsi="Calibri" w:eastAsia="Hiragino Sans GB"/>
          </w:rPr>
          <w:t>META</w:t>
        </w:r>
      </w:hyperlink>
      <w:r>
        <w:t xml:space="preserve"> · </w:t>
      </w:r>
      <w:hyperlink r:id="rId36">
        <w:r>
          <w:rPr>
            <w:color w:val="1D5FD1"/>
            <w:u w:val="single"/>
            <w:sz w:val="17"/>
            <w:szCs w:val="17"/>
            <w:rFonts w:ascii="Calibri" w:hAnsi="Calibri" w:eastAsia="Hiragino Sans GB"/>
          </w:rPr>
          <w:t>MSFT</w:t>
        </w:r>
      </w:hyperlink>
      <w:r>
        <w:t xml:space="preserve"> · </w:t>
      </w:r>
      <w:hyperlink r:id="rId29">
        <w:r>
          <w:rPr>
            <w:color w:val="1D5FD1"/>
            <w:u w:val="single"/>
            <w:sz w:val="17"/>
            <w:szCs w:val="17"/>
            <w:rFonts w:ascii="Calibri" w:hAnsi="Calibri" w:eastAsia="Hiragino Sans GB"/>
          </w:rPr>
          <w:t>600900.SH</w:t>
        </w:r>
      </w:hyperlink>
      <w:r>
        <w:t xml:space="preserve"> · </w:t>
      </w:r>
      <w:hyperlink r:id="rId37">
        <w:r>
          <w:rPr>
            <w:color w:val="1D5FD1"/>
            <w:u w:val="single"/>
            <w:sz w:val="17"/>
            <w:szCs w:val="17"/>
            <w:rFonts w:ascii="Calibri" w:hAnsi="Calibri" w:eastAsia="Hiragino Sans GB"/>
          </w:rPr>
          <w:t>XLU</w:t>
        </w:r>
      </w:hyperlink>
      <w:r>
        <w:t xml:space="preserve"> · </w:t>
      </w:r>
      <w:hyperlink r:id="rId38">
        <w:r>
          <w:rPr>
            <w:color w:val="1D5FD1"/>
            <w:u w:val="single"/>
            <w:sz w:val="17"/>
            <w:szCs w:val="17"/>
            <w:rFonts w:ascii="Calibri" w:hAnsi="Calibri" w:eastAsia="Hiragino Sans GB"/>
          </w:rPr>
          <w:t>AMZN</w:t>
        </w:r>
      </w:hyperlink>
      <w:r>
        <w:t xml:space="preserve"> · </w:t>
      </w:r>
      <w:hyperlink r:id="rId39">
        <w:r>
          <w:rPr>
            <w:color w:val="1D5FD1"/>
            <w:u w:val="single"/>
            <w:sz w:val="17"/>
            <w:szCs w:val="17"/>
            <w:rFonts w:ascii="Calibri" w:hAnsi="Calibri" w:eastAsia="Hiragino Sans GB"/>
          </w:rPr>
          <w:t>GOOGL</w:t>
        </w:r>
      </w:hyperlink>
    </w:p>
    <w:p>
      <w:pPr>
        <w:keepNext/>
      </w:pPr>
      <w:r>
        <w:rPr>
          <w:rFonts w:ascii="Calibri" w:hAnsi="Calibri" w:eastAsia="Hiragino Sans GB"/>
          <w:b/>
          <w:color w:val="D85B16"/>
          <w:sz w:val="18"/>
        </w:rPr>
        <w:t xml:space="preserve">03  WEAKENED  </w:t>
      </w:r>
      <w:r>
        <w:rPr>
          <w:rFonts w:ascii="Calibri" w:hAnsi="Calibri" w:eastAsia="Hiragino Sans GB"/>
          <w:b/>
          <w:color w:val="111111"/>
          <w:sz w:val="22"/>
        </w:rPr>
        <w:t>Mag7 在 AI 时代从平台垄断转向基础设施再分层 的本周证据更新</w:t>
      </w:r>
    </w:p>
    <w:p>
      <w:pPr>
        <w:keepLines w:val="0"/>
      </w:pPr>
      <w:r>
        <w:rPr>
          <w:rFonts w:ascii="Calibri" w:hAnsi="Calibri" w:eastAsia="Hiragino Sans GB"/>
          <w:b w:val="0"/>
          <w:color w:val="111111"/>
          <w:sz w:val="22"/>
        </w:rPr>
        <w:t>赛道：Mag7 AI 平台再分层。候选观察标的：MSFT, AAPL, TSLA, META, AMZN, GOOGL, NVDA。当前共有 40 条证据、4 位分析师和 8 条风险信号指向该判断；主导链条为 AI 基础设施。该主题应作为可跟踪投资假设，而不是孤立结论。 本周新增 8 条主线事件，其中支持 1 条、风险 7 条；当前组合含义是 先放入观察池，只在证据密度和价格确认同时改善时进入组合。</w:t>
      </w:r>
    </w:p>
    <w:p>
      <w:pPr>
        <w:pStyle w:val="TableCitation"/>
      </w:pPr>
      <w:r>
        <w:t>关联标的：</w:t>
      </w:r>
      <w:hyperlink r:id="rId35">
        <w:r>
          <w:rPr>
            <w:color w:val="1D5FD1"/>
            <w:u w:val="single"/>
            <w:sz w:val="17"/>
            <w:szCs w:val="17"/>
            <w:rFonts w:ascii="Calibri" w:hAnsi="Calibri" w:eastAsia="Hiragino Sans GB"/>
          </w:rPr>
          <w:t>META</w:t>
        </w:r>
      </w:hyperlink>
      <w:r>
        <w:t xml:space="preserve"> · </w:t>
      </w:r>
      <w:hyperlink r:id="rId36">
        <w:r>
          <w:rPr>
            <w:color w:val="1D5FD1"/>
            <w:u w:val="single"/>
            <w:sz w:val="17"/>
            <w:szCs w:val="17"/>
            <w:rFonts w:ascii="Calibri" w:hAnsi="Calibri" w:eastAsia="Hiragino Sans GB"/>
          </w:rPr>
          <w:t>MSFT</w:t>
        </w:r>
      </w:hyperlink>
      <w:r>
        <w:t xml:space="preserve"> · </w:t>
      </w:r>
      <w:hyperlink r:id="rId40">
        <w:r>
          <w:rPr>
            <w:color w:val="1D5FD1"/>
            <w:u w:val="single"/>
            <w:sz w:val="17"/>
            <w:szCs w:val="17"/>
            <w:rFonts w:ascii="Calibri" w:hAnsi="Calibri" w:eastAsia="Hiragino Sans GB"/>
          </w:rPr>
          <w:t>NVDA</w:t>
        </w:r>
      </w:hyperlink>
      <w:r>
        <w:t xml:space="preserve"> · </w:t>
      </w:r>
      <w:hyperlink r:id="rId38">
        <w:r>
          <w:rPr>
            <w:color w:val="1D5FD1"/>
            <w:u w:val="single"/>
            <w:sz w:val="17"/>
            <w:szCs w:val="17"/>
            <w:rFonts w:ascii="Calibri" w:hAnsi="Calibri" w:eastAsia="Hiragino Sans GB"/>
          </w:rPr>
          <w:t>AMZN</w:t>
        </w:r>
      </w:hyperlink>
      <w:r>
        <w:t xml:space="preserve"> · </w:t>
      </w:r>
      <w:hyperlink r:id="rId39">
        <w:r>
          <w:rPr>
            <w:color w:val="1D5FD1"/>
            <w:u w:val="single"/>
            <w:sz w:val="17"/>
            <w:szCs w:val="17"/>
            <w:rFonts w:ascii="Calibri" w:hAnsi="Calibri" w:eastAsia="Hiragino Sans GB"/>
          </w:rPr>
          <w:t>GOOGL</w:t>
        </w:r>
      </w:hyperlink>
      <w:r>
        <w:t xml:space="preserve"> · </w:t>
      </w:r>
      <w:hyperlink r:id="rId41">
        <w:r>
          <w:rPr>
            <w:color w:val="1D5FD1"/>
            <w:u w:val="single"/>
            <w:sz w:val="17"/>
            <w:szCs w:val="17"/>
            <w:rFonts w:ascii="Calibri" w:hAnsi="Calibri" w:eastAsia="Hiragino Sans GB"/>
          </w:rPr>
          <w:t>TSM</w:t>
        </w:r>
      </w:hyperlink>
    </w:p>
    <w:p>
      <w:pPr>
        <w:keepNext/>
      </w:pPr>
      <w:r>
        <w:rPr>
          <w:rFonts w:ascii="Calibri" w:hAnsi="Calibri" w:eastAsia="Hiragino Sans GB"/>
          <w:b/>
          <w:color w:val="D85B16"/>
          <w:sz w:val="18"/>
        </w:rPr>
        <w:t xml:space="preserve">04  WEAKENED  </w:t>
      </w:r>
      <w:r>
        <w:rPr>
          <w:rFonts w:ascii="Calibri" w:hAnsi="Calibri" w:eastAsia="Hiragino Sans GB"/>
          <w:b/>
          <w:color w:val="111111"/>
          <w:sz w:val="22"/>
        </w:rPr>
        <w:t>NAND盈利弹性由价格与产品结构主导，而非单纯出货增长 的本周证据更新</w:t>
      </w:r>
    </w:p>
    <w:p>
      <w:pPr>
        <w:keepLines w:val="0"/>
      </w:pPr>
      <w:r>
        <w:rPr>
          <w:rFonts w:ascii="Calibri" w:hAnsi="Calibri" w:eastAsia="Hiragino Sans GB"/>
          <w:b w:val="0"/>
          <w:color w:val="111111"/>
          <w:sz w:val="22"/>
        </w:rPr>
        <w:t>SanDisk的盈利修复主要来自NAND单位价格上行和产品结构改善，而非位元出货扩张。若AI及企业存储需求维持、行业供给纪律未被破坏，利润率可保持韧性；若新增供给推动价格回落，盈利弹性将快速反转。 本周新增 8 条主线事件，其中支持 3 条、风险 5 条；当前组合含义是 适合作为风险雷达，不适合作为无条件加仓理由。</w:t>
      </w:r>
    </w:p>
    <w:p>
      <w:pPr>
        <w:pStyle w:val="TableCitation"/>
      </w:pPr>
      <w:r>
        <w:t>关联标的：</w:t>
      </w:r>
      <w:hyperlink r:id="rId40">
        <w:r>
          <w:rPr>
            <w:color w:val="1D5FD1"/>
            <w:u w:val="single"/>
            <w:sz w:val="17"/>
            <w:szCs w:val="17"/>
            <w:rFonts w:ascii="Calibri" w:hAnsi="Calibri" w:eastAsia="Hiragino Sans GB"/>
          </w:rPr>
          <w:t>NVDA</w:t>
        </w:r>
      </w:hyperlink>
      <w:r>
        <w:t xml:space="preserve"> · </w:t>
      </w:r>
      <w:hyperlink r:id="rId41">
        <w:r>
          <w:rPr>
            <w:color w:val="1D5FD1"/>
            <w:u w:val="single"/>
            <w:sz w:val="17"/>
            <w:szCs w:val="17"/>
            <w:rFonts w:ascii="Calibri" w:hAnsi="Calibri" w:eastAsia="Hiragino Sans GB"/>
          </w:rPr>
          <w:t>TSM</w:t>
        </w:r>
      </w:hyperlink>
      <w:r>
        <w:t xml:space="preserve"> · </w:t>
      </w:r>
      <w:hyperlink r:id="rId42">
        <w:r>
          <w:rPr>
            <w:color w:val="1D5FD1"/>
            <w:u w:val="single"/>
            <w:sz w:val="17"/>
            <w:szCs w:val="17"/>
            <w:rFonts w:ascii="Calibri" w:hAnsi="Calibri" w:eastAsia="Hiragino Sans GB"/>
          </w:rPr>
          <w:t>MU</w:t>
        </w:r>
      </w:hyperlink>
      <w:r>
        <w:t xml:space="preserve"> · </w:t>
      </w:r>
      <w:hyperlink r:id="rId43">
        <w:r>
          <w:rPr>
            <w:color w:val="1D5FD1"/>
            <w:u w:val="single"/>
            <w:sz w:val="17"/>
            <w:szCs w:val="17"/>
            <w:rFonts w:ascii="Calibri" w:hAnsi="Calibri" w:eastAsia="Hiragino Sans GB"/>
          </w:rPr>
          <w:t>000660.KS</w:t>
        </w:r>
      </w:hyperlink>
      <w:r>
        <w:t xml:space="preserve"> · </w:t>
      </w:r>
      <w:hyperlink r:id="rId35">
        <w:r>
          <w:rPr>
            <w:color w:val="1D5FD1"/>
            <w:u w:val="single"/>
            <w:sz w:val="17"/>
            <w:szCs w:val="17"/>
            <w:rFonts w:ascii="Calibri" w:hAnsi="Calibri" w:eastAsia="Hiragino Sans GB"/>
          </w:rPr>
          <w:t>META</w:t>
        </w:r>
      </w:hyperlink>
      <w:r>
        <w:t xml:space="preserve"> · </w:t>
      </w:r>
      <w:hyperlink r:id="rId44">
        <w:r>
          <w:rPr>
            <w:color w:val="1D5FD1"/>
            <w:u w:val="single"/>
            <w:sz w:val="17"/>
            <w:szCs w:val="17"/>
            <w:rFonts w:ascii="Calibri" w:hAnsi="Calibri" w:eastAsia="Hiragino Sans GB"/>
          </w:rPr>
          <w:t>AMD</w:t>
        </w:r>
      </w:hyperlink>
    </w:p>
    <w:p>
      <w:pPr>
        <w:keepNext/>
      </w:pPr>
      <w:r>
        <w:rPr>
          <w:rFonts w:ascii="Calibri" w:hAnsi="Calibri" w:eastAsia="Hiragino Sans GB"/>
          <w:b/>
          <w:color w:val="D85B16"/>
          <w:sz w:val="18"/>
        </w:rPr>
        <w:t xml:space="preserve">05  SPLIT  </w:t>
      </w:r>
      <w:r>
        <w:rPr>
          <w:rFonts w:ascii="Calibri" w:hAnsi="Calibri" w:eastAsia="Hiragino Sans GB"/>
          <w:b/>
          <w:color w:val="111111"/>
          <w:sz w:val="22"/>
        </w:rPr>
        <w:t>酒店餐饮休闲复苏正在从客流修复转向 RevPAR、翻台率与小盘 Alpha 的本周证据更新</w:t>
      </w:r>
    </w:p>
    <w:p>
      <w:pPr>
        <w:keepLines w:val="0"/>
      </w:pPr>
      <w:r>
        <w:rPr>
          <w:rFonts w:ascii="Calibri" w:hAnsi="Calibri" w:eastAsia="Hiragino Sans GB"/>
          <w:b w:val="0"/>
          <w:color w:val="111111"/>
          <w:sz w:val="22"/>
        </w:rPr>
        <w:t>赛道：酒店餐饮休闲/服务消费。候选观察标的：1179.HK, 9961.HK, 3690.HK, YUMC, MAR, BKNG, SBUX。当前共有 40 条证据、1 位分析师和 4 条风险信号指向该判断；主导链条为 宏观通胀传导。该主题应作为可跟踪投资假设，而不是孤立结论。 本周新增 8 条主线事件，其中支持 5 条、风险 3 条；当前组合含义是 先放入观察池，只在证据密度和价格确认同时改善时进入组合。</w:t>
      </w:r>
    </w:p>
    <w:p>
      <w:pPr>
        <w:pStyle w:val="TableCitation"/>
      </w:pPr>
      <w:r>
        <w:t>关联标的：</w:t>
      </w:r>
      <w:hyperlink r:id="rId45">
        <w:r>
          <w:rPr>
            <w:color w:val="1D5FD1"/>
            <w:u w:val="single"/>
            <w:sz w:val="17"/>
            <w:szCs w:val="17"/>
            <w:rFonts w:ascii="Calibri" w:hAnsi="Calibri" w:eastAsia="Hiragino Sans GB"/>
          </w:rPr>
          <w:t>9922.HK</w:t>
        </w:r>
      </w:hyperlink>
      <w:r>
        <w:t xml:space="preserve"> · </w:t>
      </w:r>
      <w:hyperlink r:id="rId46">
        <w:r>
          <w:rPr>
            <w:color w:val="1D5FD1"/>
            <w:u w:val="single"/>
            <w:sz w:val="17"/>
            <w:szCs w:val="17"/>
            <w:rFonts w:ascii="Calibri" w:hAnsi="Calibri" w:eastAsia="Hiragino Sans GB"/>
          </w:rPr>
          <w:t>001215.SZ</w:t>
        </w:r>
      </w:hyperlink>
      <w:r>
        <w:t xml:space="preserve"> · </w:t>
      </w:r>
      <w:hyperlink r:id="rId47">
        <w:r>
          <w:rPr>
            <w:color w:val="1D5FD1"/>
            <w:u w:val="single"/>
            <w:sz w:val="17"/>
            <w:szCs w:val="17"/>
            <w:rFonts w:ascii="Calibri" w:hAnsi="Calibri" w:eastAsia="Hiragino Sans GB"/>
          </w:rPr>
          <w:t>3690.HK</w:t>
        </w:r>
      </w:hyperlink>
      <w:r>
        <w:t xml:space="preserve"> · </w:t>
      </w:r>
      <w:hyperlink r:id="rId48">
        <w:r>
          <w:rPr>
            <w:color w:val="1D5FD1"/>
            <w:u w:val="single"/>
            <w:sz w:val="17"/>
            <w:szCs w:val="17"/>
            <w:rFonts w:ascii="Calibri" w:hAnsi="Calibri" w:eastAsia="Hiragino Sans GB"/>
          </w:rPr>
          <w:t>YUMC</w:t>
        </w:r>
      </w:hyperlink>
      <w:r>
        <w:t xml:space="preserve"> · </w:t>
      </w:r>
      <w:hyperlink r:id="rId49">
        <w:r>
          <w:rPr>
            <w:color w:val="1D5FD1"/>
            <w:u w:val="single"/>
            <w:sz w:val="17"/>
            <w:szCs w:val="17"/>
            <w:rFonts w:ascii="Calibri" w:hAnsi="Calibri" w:eastAsia="Hiragino Sans GB"/>
          </w:rPr>
          <w:t>1179.HK</w:t>
        </w:r>
      </w:hyperlink>
      <w:r>
        <w:t xml:space="preserve"> · </w:t>
      </w:r>
      <w:hyperlink r:id="rId50">
        <w:r>
          <w:rPr>
            <w:color w:val="1D5FD1"/>
            <w:u w:val="single"/>
            <w:sz w:val="17"/>
            <w:szCs w:val="17"/>
            <w:rFonts w:ascii="Calibri" w:hAnsi="Calibri" w:eastAsia="Hiragino Sans GB"/>
          </w:rPr>
          <w:t>0780.HK</w:t>
        </w:r>
      </w:hyperlink>
    </w:p>
    <w:p>
      <w:pPr>
        <w:pStyle w:val="Heading1"/>
      </w:pPr>
      <w:r>
        <w:t>5. 赛道配置与下一催化</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600"/>
        <w:gridCol w:w="1250"/>
        <w:gridCol w:w="2300"/>
        <w:gridCol w:w="2550"/>
        <w:gridCol w:w="2660"/>
      </w:tblGrid>
      <w:tr>
        <w:trPr>
          <w:cantSplit/>
          <w:tblHeader w:val="true"/>
        </w:trPr>
        <w:tc>
          <w:tcPr>
            <w:tcW w:type="dxa" w:w="6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RANK</w:t>
            </w:r>
          </w:p>
        </w:tc>
        <w:tc>
          <w:tcPr>
            <w:tcW w:type="dxa" w:w="12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STANCE</w:t>
            </w:r>
          </w:p>
        </w:tc>
        <w:tc>
          <w:tcPr>
            <w:tcW w:type="dxa" w:w="23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LANE</w:t>
            </w:r>
          </w:p>
        </w:tc>
        <w:tc>
          <w:tcPr>
            <w:tcW w:type="dxa" w:w="25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NEXT CATALYST</w:t>
            </w:r>
          </w:p>
        </w:tc>
        <w:tc>
          <w:tcPr>
            <w:tcW w:type="dxa" w:w="2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KEY EXPOSURES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8864B"/>
                <w:sz w:val="15"/>
              </w:rPr>
              <w:t>OVERWEIGHT</w:t>
            </w:r>
          </w:p>
        </w:tc>
        <w:tc>
          <w:tcPr>
            <w:tcW w:type="dxa" w:w="2300"/>
            <w:tcMar>
              <w:top w:w="80" w:type="dxa"/>
              <w:bottom w:w="80" w:type="dxa"/>
              <w:start w:w="120" w:type="dxa"/>
              <w:end w:w="120" w:type="dxa"/>
            </w:tcMar>
          </w:tcPr>
          <w:p>
            <w:hyperlink r:id="rId51">
              <w:r>
                <w:rPr>
                  <w:color w:val="1D5FD1"/>
                  <w:u w:val="single"/>
                  <w:b/>
                  <w:sz w:val="16"/>
                  <w:szCs w:val="16"/>
                  <w:rFonts w:ascii="Calibri" w:hAnsi="Calibri" w:eastAsia="Hiragino Sans GB"/>
                </w:rPr>
                <w:t>AI 电力/电网设备</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GEV · 002028.SZ · ETN · 600089.SH · CEG · VST</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52">
              <w:r>
                <w:rPr>
                  <w:color w:val="1D5FD1"/>
                  <w:u w:val="single"/>
                  <w:b/>
                  <w:sz w:val="16"/>
                  <w:szCs w:val="16"/>
                  <w:rFonts w:ascii="Calibri" w:hAnsi="Calibri" w:eastAsia="Hiragino Sans GB"/>
                </w:rPr>
                <w:t>A股半导体/两融负 Gamma</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688256.SH · 588000.SH · 688981.SH · 0981.HK · 688041.SH · 688008.SH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3</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53">
              <w:r>
                <w:rPr>
                  <w:color w:val="1D5FD1"/>
                  <w:u w:val="single"/>
                  <w:b/>
                  <w:sz w:val="16"/>
                  <w:szCs w:val="16"/>
                  <w:rFonts w:ascii="Calibri" w:hAnsi="Calibri" w:eastAsia="Hiragino Sans GB"/>
                </w:rPr>
                <w:t>A股风险偏好/两融</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510300.SH · 688729.SH · 512100.SH · 301221.SZ · 688667.SH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4</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54">
              <w:r>
                <w:rPr>
                  <w:color w:val="1D5FD1"/>
                  <w:u w:val="single"/>
                  <w:b/>
                  <w:sz w:val="16"/>
                  <w:szCs w:val="16"/>
                  <w:rFonts w:ascii="Calibri" w:hAnsi="Calibri" w:eastAsia="Hiragino Sans GB"/>
                </w:rPr>
                <w:t>先进封装/HBM4 闸门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云厂商 capex 指引是否继续上修</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NVDA · MU · 000660.KS · ASML · 002916.SZ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5</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12">
              <w:r>
                <w:rPr>
                  <w:color w:val="1D5FD1"/>
                  <w:u w:val="single"/>
                  <w:b/>
                  <w:sz w:val="16"/>
                  <w:szCs w:val="16"/>
                  <w:rFonts w:ascii="Calibri" w:hAnsi="Calibri" w:eastAsia="Hiragino Sans GB"/>
                </w:rPr>
                <w:t>AI 算力半导体</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NVDA · TSM · META · AMD · AVGO · MU</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6</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55">
              <w:r>
                <w:rPr>
                  <w:color w:val="1D5FD1"/>
                  <w:u w:val="single"/>
                  <w:b/>
                  <w:sz w:val="16"/>
                  <w:szCs w:val="16"/>
                  <w:rFonts w:ascii="Calibri" w:hAnsi="Calibri" w:eastAsia="Hiragino Sans GB"/>
                </w:rPr>
                <w:t>油气/地缘通胀</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油价和金属缺口是否从成本冲击变成需求破坏</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0883.HK · SLB · OXY · CVX · XOM · 0857.HK</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7</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56">
              <w:r>
                <w:rPr>
                  <w:color w:val="1D5FD1"/>
                  <w:u w:val="single"/>
                  <w:b/>
                  <w:sz w:val="16"/>
                  <w:szCs w:val="16"/>
                  <w:rFonts w:ascii="Calibri" w:hAnsi="Calibri" w:eastAsia="Hiragino Sans GB"/>
                </w:rPr>
                <w:t>美债利率/美元再定价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TLT · IEF · JPM · CME · GLD · MSFT</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8</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57">
              <w:r>
                <w:rPr>
                  <w:color w:val="1D5FD1"/>
                  <w:u w:val="single"/>
                  <w:b/>
                  <w:sz w:val="16"/>
                  <w:szCs w:val="16"/>
                  <w:rFonts w:ascii="Calibri" w:hAnsi="Calibri" w:eastAsia="Hiragino Sans GB"/>
                </w:rPr>
                <w:t>A股硬科技/科创50</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588000.SH · 300308.SZ · 688256.SH · 688981.SH · 688008.SH · 688041.SH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9</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58">
              <w:r>
                <w:rPr>
                  <w:color w:val="1D5FD1"/>
                  <w:u w:val="single"/>
                  <w:b/>
                  <w:sz w:val="16"/>
                  <w:szCs w:val="16"/>
                  <w:rFonts w:ascii="Calibri" w:hAnsi="Calibri" w:eastAsia="Hiragino Sans GB"/>
                </w:rPr>
                <w:t>日元套息/EM 科技流动性</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TSM · KWEB · FXY · NVDA · CME · 000660.KS</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10</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C92A2A"/>
                <w:sz w:val="15"/>
              </w:rPr>
              <w:t>UNDERWEIGHT</w:t>
            </w:r>
          </w:p>
        </w:tc>
        <w:tc>
          <w:tcPr>
            <w:tcW w:type="dxa" w:w="2300"/>
            <w:tcMar>
              <w:top w:w="80" w:type="dxa"/>
              <w:bottom w:w="80" w:type="dxa"/>
              <w:start w:w="120" w:type="dxa"/>
              <w:end w:w="120" w:type="dxa"/>
            </w:tcMar>
          </w:tcPr>
          <w:p>
            <w:hyperlink r:id="rId59">
              <w:r>
                <w:rPr>
                  <w:color w:val="1D5FD1"/>
                  <w:u w:val="single"/>
                  <w:b/>
                  <w:sz w:val="16"/>
                  <w:szCs w:val="16"/>
                  <w:rFonts w:ascii="Calibri" w:hAnsi="Calibri" w:eastAsia="Hiragino Sans GB"/>
                </w:rPr>
                <w:t>食品加工/成本传导</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CPI/PCE 与油价是否重新推高实际利率</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600298.SH · 001215.SZ · 603027.SH · 300973.SZ · 603317.SH · 002847.SZ</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11</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0">
              <w:r>
                <w:rPr>
                  <w:color w:val="1D5FD1"/>
                  <w:u w:val="single"/>
                  <w:b/>
                  <w:sz w:val="16"/>
                  <w:szCs w:val="16"/>
                  <w:rFonts w:ascii="Calibri" w:hAnsi="Calibri" w:eastAsia="Hiragino Sans GB"/>
                </w:rPr>
                <w:t>中国大健康/创新药出海</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融资余额、ETF 申赎和北向资金是否同向</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1801.HK · 600276.SH · 2359.HK · 9926.HK · 2269.HK · 603259.SH</w:t>
            </w:r>
          </w:p>
        </w:tc>
      </w:tr>
      <w:tr>
        <w:trPr>
          <w:cantSplit/>
        </w:trPr>
        <w:tc>
          <w:tcPr>
            <w:tcW w:type="dxa" w:w="600"/>
            <w:tcMar>
              <w:top w:w="80" w:type="dxa"/>
              <w:bottom w:w="80" w:type="dxa"/>
              <w:start w:w="120" w:type="dxa"/>
              <w:end w:w="120" w:type="dxa"/>
            </w:tcMar>
          </w:tcPr>
          <w:p>
            <w:pPr>
              <w:spacing w:before="0" w:after="0" w:line="252" w:lineRule="auto"/>
            </w:pPr>
            <w:r>
              <w:rPr>
                <w:rFonts w:ascii="Calibri" w:hAnsi="Calibri" w:eastAsia="Hiragino Sans GB"/>
                <w:b/>
                <w:color w:val="111111"/>
                <w:sz w:val="16"/>
              </w:rPr>
              <w:t>12</w:t>
            </w:r>
          </w:p>
        </w:tc>
        <w:tc>
          <w:tcPr>
            <w:tcW w:type="dxa" w:w="1250"/>
            <w:tcMar>
              <w:top w:w="80" w:type="dxa"/>
              <w:bottom w:w="80" w:type="dxa"/>
              <w:start w:w="120" w:type="dxa"/>
              <w:end w:w="120" w:type="dxa"/>
            </w:tcMar>
          </w:tcPr>
          <w:p>
            <w:pPr>
              <w:spacing w:before="0" w:after="0" w:line="252" w:lineRule="auto"/>
            </w:pPr>
            <w:r>
              <w:rPr>
                <w:rFonts w:ascii="Calibri" w:hAnsi="Calibri" w:eastAsia="Hiragino Sans GB"/>
                <w:b/>
                <w:color w:val="1D5FD1"/>
                <w:sz w:val="15"/>
              </w:rPr>
              <w:t>NEUTRAL</w:t>
            </w:r>
          </w:p>
        </w:tc>
        <w:tc>
          <w:tcPr>
            <w:tcW w:type="dxa" w:w="2300"/>
            <w:tcMar>
              <w:top w:w="80" w:type="dxa"/>
              <w:bottom w:w="80" w:type="dxa"/>
              <w:start w:w="120" w:type="dxa"/>
              <w:end w:w="120" w:type="dxa"/>
            </w:tcMar>
          </w:tcPr>
          <w:p>
            <w:hyperlink r:id="rId61">
              <w:r>
                <w:rPr>
                  <w:color w:val="1D5FD1"/>
                  <w:u w:val="single"/>
                  <w:b/>
                  <w:sz w:val="16"/>
                  <w:szCs w:val="16"/>
                  <w:rFonts w:ascii="Calibri" w:hAnsi="Calibri" w:eastAsia="Hiragino Sans GB"/>
                </w:rPr>
                <w:t>公用事业/电网信用</w:t>
              </w:r>
            </w:hyperlink>
          </w:p>
        </w:tc>
        <w:tc>
          <w:tcPr>
            <w:tcW w:type="dxa" w:w="255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并网排队和变压器交期是否继续拉长</w:t>
            </w:r>
          </w:p>
        </w:tc>
        <w:tc>
          <w:tcPr>
            <w:tcW w:type="dxa" w:w="2660"/>
            <w:tcMar>
              <w:top w:w="80" w:type="dxa"/>
              <w:bottom w:w="80" w:type="dxa"/>
              <w:start w:w="120" w:type="dxa"/>
              <w:end w:w="120" w:type="dxa"/>
            </w:tcMar>
          </w:tcPr>
          <w:p>
            <w:pPr>
              <w:spacing w:before="0" w:after="0" w:line="252" w:lineRule="auto"/>
            </w:pPr>
            <w:r>
              <w:rPr>
                <w:rFonts w:ascii="Calibri" w:hAnsi="Calibri" w:eastAsia="Hiragino Sans GB"/>
                <w:b w:val="0"/>
                <w:color w:val="111111"/>
                <w:sz w:val="16"/>
              </w:rPr>
              <w:t>600900.SH · CEG · AEP · DUK · 600025.SH · 003816.SZ</w:t>
            </w:r>
          </w:p>
        </w:tc>
      </w:tr>
    </w:tbl>
    <w:p>
      <w:pPr>
        <w:pStyle w:val="Heading1"/>
      </w:pPr>
      <w:r>
        <w:t>6. 关键分歧：保留正反两面</w:t>
      </w:r>
    </w:p>
    <w:p>
      <w:pPr>
        <w:pStyle w:val="Heading2"/>
      </w:pPr>
      <w:r>
        <w:t>01 · Mag7 在 AI 时代从平台垄断转向基础设施再分层</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2026-07-10｜超大规模厂商资本轮动：从消费内容到 AI 算力</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2026-07-18 AI 资本开支消化气穴仪表盘:公司与供应链披露</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下一周需要由价格、订单、交付、政策或盈利数据中的至少一项同向确认。</w:t>
            </w:r>
          </w:p>
        </w:tc>
      </w:tr>
    </w:tbl>
    <w:p>
      <w:pPr>
        <w:pStyle w:val="Heading2"/>
      </w:pPr>
      <w:r>
        <w:t>02 · 中国资产定价仍受政策、流动性与风险偏好共同驱动</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港股主导 AI 算力国产替代交易的 FX 覆盖方案</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压力测试「出口+高股息」组合的流动性边界：顺差收窄触发的汇率压力如何经北向资金与融资融券传导</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下一周需要由价格、订单、交付、政策或盈利数据中的至少一项同向确认。</w:t>
            </w:r>
          </w:p>
        </w:tc>
      </w:tr>
    </w:tbl>
    <w:p>
      <w:pPr>
        <w:pStyle w:val="Heading2"/>
      </w:pPr>
      <w:r>
        <w:t>03 · AI 资本开支通过能源、设备和利率进入通胀定价</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1350"/>
        <w:gridCol w:w="8010"/>
      </w:tblGrid>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6"/>
              </w:rPr>
              <w:t>SUPPORT</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AI基建净通胀-增长脉冲的量化与沃什美联储反应函数</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6"/>
              </w:rPr>
              <w:t>CHALLENGE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硅电锁死与再通胀：AI算力电力通胀向核心PCE的传导路径与降息周期的利率定价博弈</w:t>
            </w:r>
          </w:p>
        </w:tc>
      </w:tr>
      <w:tr>
        <w:trPr>
          <w:cantSplit/>
        </w:trPr>
        <w:tc>
          <w:tcPr>
            <w:tcW w:type="dxa" w:w="135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D85B16"/>
                <w:sz w:val="16"/>
              </w:rPr>
              <w:t>RESOLVE</w:t>
            </w:r>
          </w:p>
        </w:tc>
        <w:tc>
          <w:tcPr>
            <w:tcW w:type="dxa" w:w="801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8"/>
              </w:rPr>
              <w:t>下一周需要由价格、订单、交付、政策或盈利数据中的至少一项同向确认。</w:t>
            </w:r>
          </w:p>
        </w:tc>
      </w:tr>
    </w:tbl>
    <w:p>
      <w:pPr>
        <w:pStyle w:val="Heading1"/>
      </w:pPr>
      <w:r>
        <w:t>7. 下周验证清单</w:t>
      </w:r>
    </w:p>
    <w:p>
      <w:pPr>
        <w:pStyle w:val="Heading2"/>
      </w:pPr>
      <w:r>
        <w:t>01 · AI 电力/电网设备：并网排队和变压器交期是否继续拉长</w:t>
      </w:r>
    </w:p>
    <w:p>
      <w:pPr>
        <w:keepLines/>
      </w:pPr>
      <w:r>
        <w:rPr>
          <w:rFonts w:ascii="Calibri" w:hAnsi="Calibri" w:eastAsia="Hiragino Sans GB"/>
          <w:b w:val="0"/>
          <w:color w:val="5E6268"/>
          <w:sz w:val="22"/>
        </w:rPr>
        <w:t>该信号决定 OVERWEIGHT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并网排队和变压器交期是否继续拉长</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02 · A股半导体/两融负 Gamma：融资余额、ETF 申赎和北向资金是否同向</w:t>
      </w:r>
    </w:p>
    <w:p>
      <w:pPr>
        <w:keepLines/>
      </w:pPr>
      <w:r>
        <w:rPr>
          <w:rFonts w:ascii="Calibri" w:hAnsi="Calibri" w:eastAsia="Hiragino Sans GB"/>
          <w:b w:val="0"/>
          <w:color w:val="5E6268"/>
          <w:sz w:val="22"/>
        </w:rPr>
        <w:t>该信号决定 UNDERWEIGHT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融资余额、ETF 申赎和北向资金是否同向</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维持低配并等待第二条确认。</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03 · A股风险偏好/两融：融资余额、ETF 申赎和北向资金是否同向</w:t>
      </w:r>
    </w:p>
    <w:p>
      <w:pPr>
        <w:keepLines/>
      </w:pPr>
      <w:r>
        <w:rPr>
          <w:rFonts w:ascii="Calibri" w:hAnsi="Calibri" w:eastAsia="Hiragino Sans GB"/>
          <w:b w:val="0"/>
          <w:color w:val="5E6268"/>
          <w:sz w:val="22"/>
        </w:rPr>
        <w:t>该信号决定 UNDERWEIGHT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融资余额、ETF 申赎和北向资金是否同向</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维持低配并等待第二条确认。</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04 · 先进封装/HBM4 闸门：云厂商 capex 指引是否继续上修</w:t>
      </w:r>
    </w:p>
    <w:p>
      <w:pPr>
        <w:keepLines/>
      </w:pPr>
      <w:r>
        <w:rPr>
          <w:rFonts w:ascii="Calibri" w:hAnsi="Calibri" w:eastAsia="Hiragino Sans GB"/>
          <w:b w:val="0"/>
          <w:color w:val="5E6268"/>
          <w:sz w:val="22"/>
        </w:rPr>
        <w:t>该信号决定 NEUTRAL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云厂商 capex 指引是否继续上修</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2"/>
      </w:pPr>
      <w:r>
        <w:t>05 · AI 算力半导体：CPI/PCE 与油价是否重新推高实际利率</w:t>
      </w:r>
    </w:p>
    <w:p>
      <w:pPr>
        <w:keepLines/>
      </w:pPr>
      <w:r>
        <w:rPr>
          <w:rFonts w:ascii="Calibri" w:hAnsi="Calibri" w:eastAsia="Hiragino Sans GB"/>
          <w:b w:val="0"/>
          <w:color w:val="5E6268"/>
          <w:sz w:val="22"/>
        </w:rPr>
        <w:t>该信号决定 NEUTRAL 配置能否从研究判断转化为可验证的组合结果。</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900"/>
        <w:gridCol w:w="3770"/>
        <w:gridCol w:w="4690"/>
      </w:tblGrid>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8864B"/>
                <w:sz w:val="15"/>
              </w:rPr>
              <w:t>POSITIVE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CPI/PCE 与油价是否重新推高实际利率</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在既定赛道上限内优先增加证据最强的核心标的。</w:t>
            </w:r>
          </w:p>
        </w:tc>
      </w:tr>
      <w:tr>
        <w:trPr>
          <w:cantSplit/>
        </w:trPr>
        <w:tc>
          <w:tcPr>
            <w:tcW w:type="dxa" w:w="9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C92A2A"/>
                <w:sz w:val="15"/>
              </w:rPr>
              <w:t>NEGATIVE</w:t>
            </w:r>
          </w:p>
        </w:tc>
        <w:tc>
          <w:tcPr>
            <w:tcW w:type="dxa" w:w="377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风险事件继续高于支持事件，且最新证据没有修复。</w:t>
            </w:r>
          </w:p>
        </w:tc>
        <w:tc>
          <w:tcPr>
            <w:tcW w:type="dxa" w:w="4690"/>
            <w:tcMar>
              <w:top w:w="80" w:type="dxa"/>
              <w:bottom w:w="80" w:type="dxa"/>
              <w:start w:w="120" w:type="dxa"/>
              <w:end w:w="120" w:type="dxa"/>
            </w:tcMar>
            <w:vAlign w:val="top"/>
          </w:tcPr>
          <w:p>
            <w:pPr>
              <w:spacing w:before="0" w:after="0" w:line="252" w:lineRule="auto"/>
            </w:pPr>
            <w:r>
              <w:rPr>
                <w:rFonts w:ascii="Calibri" w:hAnsi="Calibri" w:eastAsia="Hiragino Sans GB"/>
                <w:b w:val="0"/>
                <w:color w:val="111111"/>
                <w:sz w:val="17"/>
              </w:rPr>
              <w:t>降低相关暴露，回到观察状态，并重新比较替代赛道。</w:t>
            </w:r>
          </w:p>
        </w:tc>
      </w:tr>
    </w:tbl>
    <w:p>
      <w:pPr>
        <w:pStyle w:val="Heading1"/>
      </w:pPr>
      <w:r>
        <w:t>8. 发布质量与数据边界</w:t>
      </w:r>
    </w:p>
    <w:p>
      <w:pPr>
        <w:keepLines w:val="0"/>
      </w:pPr>
      <w:r>
        <w:rPr>
          <w:rFonts w:ascii="Calibri" w:hAnsi="Calibri" w:eastAsia="Hiragino Sans GB"/>
          <w:b/>
          <w:color w:val="111111"/>
          <w:sz w:val="22"/>
        </w:rPr>
        <w:t>本周结构化市场报价为空，因此不发布伪精确收益归因；正式命中率与 Brier 需要已结算 forecast 合约。</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2500"/>
        <w:gridCol w:w="1860"/>
        <w:gridCol w:w="5000"/>
      </w:tblGrid>
      <w:tr>
        <w:trPr>
          <w:cantSplit/>
          <w:tblHeader w:val="true"/>
        </w:trPr>
        <w:tc>
          <w:tcPr>
            <w:tcW w:type="dxa" w:w="25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CHECK</w:t>
            </w:r>
          </w:p>
        </w:tc>
        <w:tc>
          <w:tcPr>
            <w:tcW w:type="dxa" w:w="18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STATUS / VALUE</w:t>
            </w:r>
          </w:p>
        </w:tc>
        <w:tc>
          <w:tcPr>
            <w:tcW w:type="dxa" w:w="500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6"/>
              </w:rPr>
              <w:t>INTERPRETATION</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公开来源数</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80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公开来源覆盖</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操作结论证据覆盖</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5/5</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每条操作结论均有证据映射</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反向证据</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95</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保留反向与挑战证据</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上周基线</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18864B"/>
                <w:sz w:val="16"/>
              </w:rPr>
              <w:t>pass · 2026-W29</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是否具备可比较上周基线</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结构化市场报价</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0</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是否具备结构化市场报价</w:t>
            </w:r>
          </w:p>
        </w:tc>
      </w:tr>
      <w:tr>
        <w:trPr>
          <w:cantSplit/>
        </w:trPr>
        <w:tc>
          <w:tcPr>
            <w:tcW w:type="dxa" w:w="2500"/>
            <w:tcMar>
              <w:top w:w="80" w:type="dxa"/>
              <w:bottom w:w="80" w:type="dxa"/>
              <w:start w:w="120" w:type="dxa"/>
              <w:end w:w="120" w:type="dxa"/>
            </w:tcMar>
          </w:tcPr>
          <w:p>
            <w:pPr>
              <w:spacing w:before="0" w:after="0" w:line="252" w:lineRule="auto"/>
            </w:pPr>
            <w:r>
              <w:rPr>
                <w:rFonts w:ascii="Calibri" w:hAnsi="Calibri" w:eastAsia="Hiragino Sans GB"/>
                <w:b/>
                <w:color w:val="111111"/>
                <w:sz w:val="17"/>
              </w:rPr>
              <w:t>人类友好综合</w:t>
            </w:r>
          </w:p>
        </w:tc>
        <w:tc>
          <w:tcPr>
            <w:tcW w:type="dxa" w:w="1860"/>
            <w:tcMar>
              <w:top w:w="80" w:type="dxa"/>
              <w:bottom w:w="80" w:type="dxa"/>
              <w:start w:w="120" w:type="dxa"/>
              <w:end w:w="120" w:type="dxa"/>
            </w:tcMar>
          </w:tcPr>
          <w:p>
            <w:pPr>
              <w:spacing w:before="0" w:after="0" w:line="252" w:lineRule="auto"/>
            </w:pPr>
            <w:r>
              <w:rPr>
                <w:rFonts w:ascii="Calibri" w:hAnsi="Calibri" w:eastAsia="Hiragino Sans GB"/>
                <w:b/>
                <w:color w:val="D85B16"/>
                <w:sz w:val="16"/>
              </w:rPr>
              <w:t>warn · deterministic_grounded</w:t>
            </w:r>
          </w:p>
        </w:tc>
        <w:tc>
          <w:tcPr>
            <w:tcW w:type="dxa" w:w="5000"/>
            <w:tcMar>
              <w:top w:w="80" w:type="dxa"/>
              <w:bottom w:w="80" w:type="dxa"/>
              <w:start w:w="120" w:type="dxa"/>
              <w:end w:w="120" w:type="dxa"/>
            </w:tcMar>
          </w:tcPr>
          <w:p>
            <w:pPr>
              <w:spacing w:before="0" w:after="0" w:line="252" w:lineRule="auto"/>
            </w:pPr>
            <w:r>
              <w:rPr>
                <w:rFonts w:ascii="Calibri" w:hAnsi="Calibri" w:eastAsia="Hiragino Sans GB"/>
                <w:b w:val="0"/>
                <w:color w:val="111111"/>
                <w:sz w:val="17"/>
              </w:rPr>
              <w:t>是否完成人类友好叙事综合</w:t>
            </w:r>
          </w:p>
        </w:tc>
      </w:tr>
    </w:tbl>
    <w:p>
      <w:pPr>
        <w:keepLines w:val="0"/>
      </w:pPr>
      <w:r>
        <w:rPr>
          <w:rFonts w:ascii="Calibri" w:hAnsi="Calibri" w:eastAsia="Hiragino Sans GB"/>
          <w:b/>
          <w:color w:val="C92A2A"/>
          <w:sz w:val="22"/>
        </w:rPr>
        <w:t>本版明确不发布：verified_market_performance · settled_forecast_hit_rate_and_brier</w:t>
      </w:r>
    </w:p>
    <w:p>
      <w:pPr>
        <w:keepLines w:val="0"/>
      </w:pPr>
      <w:r>
        <w:rPr>
          <w:rFonts w:ascii="Calibri" w:hAnsi="Calibri" w:eastAsia="Hiragino Sans GB"/>
          <w:b w:val="0"/>
          <w:color w:val="5E6268"/>
          <w:sz w:val="22"/>
        </w:rPr>
        <w:t>仅包含已发布研究合约、公开报告路径和可复查映射；不包含内部运行记录、鉴权或生产提示。</w:t>
      </w:r>
    </w:p>
    <w:p>
      <w:r>
        <w:br w:type="page"/>
      </w:r>
    </w:p>
    <w:p>
      <w:pPr>
        <w:pStyle w:val="SectionLabel"/>
      </w:pPr>
      <w:r>
        <w:rPr>
          <w:rFonts w:ascii="Calibri" w:hAnsi="Calibri" w:eastAsia="Hiragino Sans GB"/>
          <w:b/>
          <w:color w:val="1D5FD1"/>
          <w:sz w:val="17"/>
        </w:rPr>
        <w:t>PROVENANCE LEDGER</w:t>
      </w:r>
    </w:p>
    <w:p>
      <w:pPr>
        <w:pStyle w:val="Heading1"/>
      </w:pPr>
      <w:r>
        <w:t>9. 完整来源账本</w:t>
      </w:r>
    </w:p>
    <w:p>
      <w:pPr>
        <w:keepLines w:val="0"/>
      </w:pPr>
      <w:r>
        <w:rPr>
          <w:rFonts w:ascii="Calibri" w:hAnsi="Calibri" w:eastAsia="Hiragino Sans GB"/>
          <w:b w:val="0"/>
          <w:color w:val="111111"/>
          <w:sz w:val="22"/>
        </w:rPr>
        <w:t>共 80 条公开来源。标题可点击进入对应研究详情；本表保留日期、类别和主要证据角色。</w:t>
      </w:r>
    </w:p>
    <w:tbl>
      <w:tblPr>
        <w:tblW w:type="dxa" w:w="9360"/>
        <w:jc w:val="left"/>
        <w:tblLayout w:type="fixed"/>
        <w:tblLook w:firstColumn="1" w:firstRow="1" w:lastColumn="0" w:lastRow="0" w:noHBand="0" w:noVBand="1" w:val="04A0"/>
        <w:tblInd w:w="120" w:type="dxa"/>
        <w:tblBorders>
          <w:top w:val="single" w:sz="4" w:color="C8CDD3"/>
          <w:left w:val="single" w:sz="4" w:color="C8CDD3"/>
          <w:bottom w:val="single" w:sz="4" w:color="C8CDD3"/>
          <w:right w:val="single" w:sz="4" w:color="C8CDD3"/>
          <w:insideH w:val="single" w:sz="4" w:color="C8CDD3"/>
          <w:insideV w:val="single" w:sz="4" w:color="C8CDD3"/>
        </w:tblBorders>
      </w:tblPr>
      <w:tblGrid>
        <w:gridCol w:w="520"/>
        <w:gridCol w:w="1240"/>
        <w:gridCol w:w="5940"/>
        <w:gridCol w:w="1660"/>
      </w:tblGrid>
      <w:tr>
        <w:trPr>
          <w:cantSplit/>
          <w:tblHeader w:val="true"/>
        </w:trPr>
        <w:tc>
          <w:tcPr>
            <w:tcW w:type="dxa" w:w="52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NO.</w:t>
            </w:r>
          </w:p>
        </w:tc>
        <w:tc>
          <w:tcPr>
            <w:tcW w:type="dxa" w:w="12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DATE</w:t>
            </w:r>
          </w:p>
        </w:tc>
        <w:tc>
          <w:tcPr>
            <w:tcW w:type="dxa" w:w="594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REPORT</w:t>
            </w:r>
          </w:p>
        </w:tc>
        <w:tc>
          <w:tcPr>
            <w:tcW w:type="dxa" w:w="1660"/>
            <w:tcMar>
              <w:top w:w="80" w:type="dxa"/>
              <w:bottom w:w="80" w:type="dxa"/>
              <w:start w:w="120" w:type="dxa"/>
              <w:end w:w="120" w:type="dxa"/>
            </w:tcMar>
            <w:vAlign w:val="top"/>
            <w:shd w:fill="F2F4F7"/>
          </w:tcPr>
          <w:p>
            <w:pPr>
              <w:spacing w:before="0" w:after="0" w:line="252" w:lineRule="auto"/>
            </w:pPr>
            <w:r>
              <w:rPr>
                <w:rFonts w:ascii="Calibri" w:hAnsi="Calibri" w:eastAsia="Hiragino Sans GB"/>
                <w:b/>
                <w:color w:val="1D5FD1"/>
                <w:sz w:val="15"/>
              </w:rPr>
              <w:t>ROLE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62">
              <w:r>
                <w:rPr>
                  <w:color w:val="1D5FD1"/>
                  <w:u w:val="single"/>
                  <w:b/>
                  <w:sz w:val="16"/>
                  <w:szCs w:val="16"/>
                  <w:rFonts w:ascii="Calibri" w:hAnsi="Calibri" w:eastAsia="Hiragino Sans GB"/>
                </w:rPr>
                <w:t>AI基础设施电力与信用瓶颈的宏观通胀与资本开支效应：对美国结构性通胀、...</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63">
              <w:r>
                <w:rPr>
                  <w:color w:val="1D5FD1"/>
                  <w:u w:val="single"/>
                  <w:b/>
                  <w:sz w:val="16"/>
                  <w:szCs w:val="16"/>
                  <w:rFonts w:ascii="Calibri" w:hAnsi="Calibri" w:eastAsia="Hiragino Sans GB"/>
                </w:rPr>
                <w:t>硅电锁死与再通胀：AI算力电力通胀向核心PCE的传导路径与降息周期的利率定价博弈</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64">
              <w:r>
                <w:rPr>
                  <w:color w:val="1D5FD1"/>
                  <w:u w:val="single"/>
                  <w:b/>
                  <w:sz w:val="16"/>
                  <w:szCs w:val="16"/>
                  <w:rFonts w:ascii="Calibri" w:hAnsi="Calibri" w:eastAsia="Hiragino Sans GB"/>
                </w:rPr>
                <w:t>公用事业分析工作日期 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65">
              <w:r>
                <w:rPr>
                  <w:color w:val="1D5FD1"/>
                  <w:u w:val="single"/>
                  <w:b/>
                  <w:sz w:val="16"/>
                  <w:szCs w:val="16"/>
                  <w:rFonts w:ascii="Calibri" w:hAnsi="Calibri" w:eastAsia="Hiragino Sans GB"/>
                </w:rPr>
                <w:t>A股半导体ETF资金流、融资余额与半导体诱多风险吸收阈值</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66">
              <w:r>
                <w:rPr>
                  <w:color w:val="1D5FD1"/>
                  <w:u w:val="single"/>
                  <w:b/>
                  <w:sz w:val="16"/>
                  <w:szCs w:val="16"/>
                  <w:rFonts w:ascii="Calibri" w:hAnsi="Calibri" w:eastAsia="Hiragino Sans GB"/>
                </w:rPr>
                <w:t>A股资金流向分析报告 (2026-07-20)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67">
              <w:r>
                <w:rPr>
                  <w:color w:val="1D5FD1"/>
                  <w:u w:val="single"/>
                  <w:b/>
                  <w:sz w:val="16"/>
                  <w:szCs w:val="16"/>
                  <w:rFonts w:ascii="Calibri" w:hAnsi="Calibri" w:eastAsia="Hiragino Sans GB"/>
                </w:rPr>
                <w:t>半导体 ETF 巨额流入与技术性熊市价格脱节的真伪抄底辩论</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68">
              <w:r>
                <w:rPr>
                  <w:color w:val="1D5FD1"/>
                  <w:u w:val="single"/>
                  <w:b/>
                  <w:sz w:val="16"/>
                  <w:szCs w:val="16"/>
                  <w:rFonts w:ascii="Calibri" w:hAnsi="Calibri" w:eastAsia="Hiragino Sans GB"/>
                </w:rPr>
                <w:t>半导体工作日期 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69">
              <w:r>
                <w:rPr>
                  <w:color w:val="1D5FD1"/>
                  <w:u w:val="single"/>
                  <w:b/>
                  <w:sz w:val="16"/>
                  <w:szCs w:val="16"/>
                  <w:rFonts w:ascii="Calibri" w:hAnsi="Calibri" w:eastAsia="Hiragino Sans GB"/>
                </w:rPr>
                <w:t>2026-07-20 — 中国宏观研究记录：人民币弹性与8月宽松路径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09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1">
              <w:r>
                <w:rPr>
                  <w:color w:val="1D5FD1"/>
                  <w:u w:val="single"/>
                  <w:b/>
                  <w:sz w:val="16"/>
                  <w:szCs w:val="16"/>
                  <w:rFonts w:ascii="Calibri" w:hAnsi="Calibri" w:eastAsia="Hiragino Sans GB"/>
                </w:rPr>
                <w:t>2026-07-20 — 策略与资产配置报告：人民币基准区间与出口商结汇节奏变化下的A股出口链板块盈利及...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0">
              <w:r>
                <w:rPr>
                  <w:color w:val="1D5FD1"/>
                  <w:u w:val="single"/>
                  <w:b/>
                  <w:sz w:val="16"/>
                  <w:szCs w:val="16"/>
                  <w:rFonts w:ascii="Calibri" w:hAnsi="Calibri" w:eastAsia="Hiragino Sans GB"/>
                </w:rPr>
                <w:t>2026-07-20 压力测试：AI 数据中心滑期、美国固定投资与 CPI 能源服务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1">
              <w:r>
                <w:rPr>
                  <w:color w:val="1D5FD1"/>
                  <w:u w:val="single"/>
                  <w:b/>
                  <w:sz w:val="16"/>
                  <w:szCs w:val="16"/>
                  <w:rFonts w:ascii="Calibri" w:hAnsi="Calibri" w:eastAsia="Hiragino Sans GB"/>
                </w:rPr>
                <w:t>2026年下半年A股策略（工作日2026-07-20）：持有AI/出口引擎，但不追高出口Beta</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2">
              <w:r>
                <w:rPr>
                  <w:color w:val="1D5FD1"/>
                  <w:u w:val="single"/>
                  <w:b/>
                  <w:sz w:val="16"/>
                  <w:szCs w:val="16"/>
                  <w:rFonts w:ascii="Calibri" w:hAnsi="Calibri" w:eastAsia="Hiragino Sans GB"/>
                </w:rPr>
                <w:t>政治局政策信号后的A股内需Beta篮子与流动性执行路径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3">
              <w:r>
                <w:rPr>
                  <w:color w:val="1D5FD1"/>
                  <w:u w:val="single"/>
                  <w:b/>
                  <w:sz w:val="16"/>
                  <w:szCs w:val="16"/>
                  <w:rFonts w:ascii="Calibri" w:hAnsi="Calibri" w:eastAsia="Hiragino Sans GB"/>
                </w:rPr>
                <w:t>主题研究员午间碰头会简报（2026-07-20）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9">
              <w:r>
                <w:rPr>
                  <w:color w:val="1D5FD1"/>
                  <w:u w:val="single"/>
                  <w:b/>
                  <w:sz w:val="16"/>
                  <w:szCs w:val="16"/>
                  <w:rFonts w:ascii="Calibri" w:hAnsi="Calibri" w:eastAsia="Hiragino Sans GB"/>
                </w:rPr>
                <w:t>行云科技‘V客户’传闻与AI算力租赁狂热估值泡沫研究报告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4">
              <w:r>
                <w:rPr>
                  <w:color w:val="1D5FD1"/>
                  <w:u w:val="single"/>
                  <w:b/>
                  <w:sz w:val="16"/>
                  <w:szCs w:val="16"/>
                  <w:rFonts w:ascii="Calibri" w:hAnsi="Calibri" w:eastAsia="Hiragino Sans GB"/>
                </w:rPr>
                <w:t>2026-07-20 — A股红利防线最终仓位校准：银行质量筛选后的超配比例与公用事业、保险、现金之间的...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5">
              <w:r>
                <w:rPr>
                  <w:color w:val="1D5FD1"/>
                  <w:u w:val="single"/>
                  <w:b/>
                  <w:sz w:val="16"/>
                  <w:szCs w:val="16"/>
                  <w:rFonts w:ascii="Calibri" w:hAnsi="Calibri" w:eastAsia="Hiragino Sans GB"/>
                </w:rPr>
                <w:t>2026-07-20 房地产链卡：B段4%应投向哪一段</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6">
              <w:r>
                <w:rPr>
                  <w:color w:val="1D5FD1"/>
                  <w:u w:val="single"/>
                  <w:b/>
                  <w:sz w:val="16"/>
                  <w:szCs w:val="16"/>
                  <w:rFonts w:ascii="Calibri" w:hAnsi="Calibri" w:eastAsia="Hiragino Sans GB"/>
                </w:rPr>
                <w:t>AI 产业动态追踪报告 (AI Industry Tracker)</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8">
              <w:r>
                <w:rPr>
                  <w:color w:val="1D5FD1"/>
                  <w:u w:val="single"/>
                  <w:b/>
                  <w:sz w:val="16"/>
                  <w:szCs w:val="16"/>
                  <w:rFonts w:ascii="Calibri" w:hAnsi="Calibri" w:eastAsia="Hiragino Sans GB"/>
                </w:rPr>
                <w:t>半导体/存储盈利压力测试（工作日2026-07-20）：稀缺盈利成立，但尚未全面扩散</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19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7">
              <w:r>
                <w:rPr>
                  <w:color w:val="1D5FD1"/>
                  <w:u w:val="single"/>
                  <w:b/>
                  <w:sz w:val="16"/>
                  <w:szCs w:val="16"/>
                  <w:rFonts w:ascii="Calibri" w:hAnsi="Calibri" w:eastAsia="Hiragino Sans GB"/>
                </w:rPr>
                <w:t>压力测试CPO对冲方案：先进封装瓶颈是否会从逻辑芯片传导至光电集成领域？</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8">
              <w:r>
                <w:rPr>
                  <w:color w:val="1D5FD1"/>
                  <w:u w:val="single"/>
                  <w:b/>
                  <w:sz w:val="16"/>
                  <w:szCs w:val="16"/>
                  <w:rFonts w:ascii="Calibri" w:hAnsi="Calibri" w:eastAsia="Hiragino Sans GB"/>
                </w:rPr>
                <w:t>城投债信用压力测试：利差分化与非标向公开债传染</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79">
              <w:r>
                <w:rPr>
                  <w:color w:val="1D5FD1"/>
                  <w:u w:val="single"/>
                  <w:b/>
                  <w:sz w:val="16"/>
                  <w:szCs w:val="16"/>
                  <w:rFonts w:ascii="Calibri" w:hAnsi="Calibri" w:eastAsia="Hiragino Sans GB"/>
                </w:rPr>
                <w:t>房地产行业午间同步简报（2026-07-20）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0">
              <w:r>
                <w:rPr>
                  <w:color w:val="1D5FD1"/>
                  <w:u w:val="single"/>
                  <w:b/>
                  <w:sz w:val="16"/>
                  <w:szCs w:val="16"/>
                  <w:rFonts w:ascii="Calibri" w:hAnsi="Calibri" w:eastAsia="Hiragino Sans GB"/>
                </w:rPr>
                <w:t>电网安全与资本开支变现：AI数据中心大负荷接入下美国公用事业费率机制与成本分摊重构</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workspace_focus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5">
              <w:r>
                <w:rPr>
                  <w:color w:val="1D5FD1"/>
                  <w:u w:val="single"/>
                  <w:b/>
                  <w:sz w:val="16"/>
                  <w:szCs w:val="16"/>
                  <w:rFonts w:ascii="Calibri" w:hAnsi="Calibri" w:eastAsia="Hiragino Sans GB"/>
                </w:rPr>
                <w:t>§1 THESIS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1">
              <w:r>
                <w:rPr>
                  <w:color w:val="1D5FD1"/>
                  <w:u w:val="single"/>
                  <w:b/>
                  <w:sz w:val="16"/>
                  <w:szCs w:val="16"/>
                  <w:rFonts w:ascii="Calibri" w:hAnsi="Calibri" w:eastAsia="Hiragino Sans GB"/>
                </w:rPr>
                <w:t>2026-07-20 — 全球宏观研究记录：7月FOMC降息检验</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2">
              <w:r>
                <w:rPr>
                  <w:color w:val="1D5FD1"/>
                  <w:u w:val="single"/>
                  <w:b/>
                  <w:sz w:val="16"/>
                  <w:szCs w:val="16"/>
                  <w:rFonts w:ascii="Calibri" w:hAnsi="Calibri" w:eastAsia="Hiragino Sans GB"/>
                </w:rPr>
                <w:t>MSTR 比特币飞轮裂痕辩论 - 研究记录 03</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3">
              <w:r>
                <w:rPr>
                  <w:color w:val="1D5FD1"/>
                  <w:u w:val="single"/>
                  <w:b/>
                  <w:sz w:val="16"/>
                  <w:szCs w:val="16"/>
                  <w:rFonts w:ascii="Calibri" w:hAnsi="Calibri" w:eastAsia="Hiragino Sans GB"/>
                </w:rPr>
                <w:t>新兴主题投资雷达</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 / 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4">
              <w:r>
                <w:rPr>
                  <w:color w:val="1D5FD1"/>
                  <w:u w:val="single"/>
                  <w:b/>
                  <w:sz w:val="16"/>
                  <w:szCs w:val="16"/>
                  <w:rFonts w:ascii="Calibri" w:hAnsi="Calibri" w:eastAsia="Hiragino Sans GB"/>
                </w:rPr>
                <w:t>中东冲突复燃下的全球原油缺口：OPEC+与美国页岩油弹性审计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5">
              <w:r>
                <w:rPr>
                  <w:color w:val="1D5FD1"/>
                  <w:u w:val="single"/>
                  <w:b/>
                  <w:sz w:val="16"/>
                  <w:szCs w:val="16"/>
                  <w:rFonts w:ascii="Calibri" w:hAnsi="Calibri" w:eastAsia="Hiragino Sans GB"/>
                </w:rPr>
                <w:t>AI 算力电力死锁与硅-电脱耦：A股半导体估值重构与电网设备出口策略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29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6">
              <w:r>
                <w:rPr>
                  <w:color w:val="1D5FD1"/>
                  <w:u w:val="single"/>
                  <w:b/>
                  <w:sz w:val="16"/>
                  <w:szCs w:val="16"/>
                  <w:rFonts w:ascii="Calibri" w:hAnsi="Calibri" w:eastAsia="Hiragino Sans GB"/>
                </w:rPr>
                <w:t>农业行业午间同步简报（2026-07-20）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7">
              <w:r>
                <w:rPr>
                  <w:color w:val="1D5FD1"/>
                  <w:u w:val="single"/>
                  <w:b/>
                  <w:sz w:val="16"/>
                  <w:szCs w:val="16"/>
                  <w:rFonts w:ascii="Calibri" w:hAnsi="Calibri" w:eastAsia="Hiragino Sans GB"/>
                </w:rPr>
                <w:t>2026-07-20 — 汇率与流动性研究记录：6.70-6.90人民币基准区间下的CNH对冲与套息交易配置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8">
              <w:r>
                <w:rPr>
                  <w:color w:val="1D5FD1"/>
                  <w:u w:val="single"/>
                  <w:b/>
                  <w:sz w:val="16"/>
                  <w:szCs w:val="16"/>
                  <w:rFonts w:ascii="Calibri" w:hAnsi="Calibri" w:eastAsia="Hiragino Sans GB"/>
                </w:rPr>
                <w:t>2026-07-20 — 美国更高终端利率与全球电网设备短缺对中国的双向传导：人民币约束、政策空间与A股...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89">
              <w:r>
                <w:rPr>
                  <w:color w:val="1D5FD1"/>
                  <w:u w:val="single"/>
                  <w:b/>
                  <w:sz w:val="16"/>
                  <w:szCs w:val="16"/>
                  <w:rFonts w:ascii="Calibri" w:hAnsi="Calibri" w:eastAsia="Hiragino Sans GB"/>
                </w:rPr>
                <w:t>美联储货币政策转型：凯文·沃什“数据依赖型自主裁量”新沟通范式及全球宏观影响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0">
              <w:r>
                <w:rPr>
                  <w:color w:val="1D5FD1"/>
                  <w:u w:val="single"/>
                  <w:b/>
                  <w:sz w:val="16"/>
                  <w:szCs w:val="16"/>
                  <w:rFonts w:ascii="Calibri" w:hAnsi="Calibri" w:eastAsia="Hiragino Sans GB"/>
                </w:rPr>
                <w:t>既非缓冲亦非套息：人民币是一场正被官方主动刹车的逼空</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1">
              <w:r>
                <w:rPr>
                  <w:color w:val="1D5FD1"/>
                  <w:u w:val="single"/>
                  <w:b/>
                  <w:sz w:val="16"/>
                  <w:szCs w:val="16"/>
                  <w:rFonts w:ascii="Calibri" w:hAnsi="Calibri" w:eastAsia="Hiragino Sans GB"/>
                </w:rPr>
                <w:t>AI/科创回撤后的A股微观结构压力测试（工作日2026-07-20）：两融、IPO抽水与指数调样资金流</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2">
              <w:r>
                <w:rPr>
                  <w:color w:val="1D5FD1"/>
                  <w:u w:val="single"/>
                  <w:b/>
                  <w:sz w:val="16"/>
                  <w:szCs w:val="16"/>
                  <w:rFonts w:ascii="Calibri" w:hAnsi="Calibri" w:eastAsia="Hiragino Sans GB"/>
                </w:rPr>
                <w:t>中美利差极值与人民币通道：美国鹰派体制向A股成长久期的汇率传导定价</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3">
              <w:r>
                <w:rPr>
                  <w:color w:val="1D5FD1"/>
                  <w:u w:val="single"/>
                  <w:b/>
                  <w:sz w:val="16"/>
                  <w:szCs w:val="16"/>
                  <w:rFonts w:ascii="Calibri" w:hAnsi="Calibri" w:eastAsia="Hiragino Sans GB"/>
                </w:rPr>
                <w:t>2026-07-20：地方电力市场规则下构网型储能容量补偿与调度现金流兑现</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4">
              <w:r>
                <w:rPr>
                  <w:color w:val="1D5FD1"/>
                  <w:u w:val="single"/>
                  <w:b/>
                  <w:sz w:val="16"/>
                  <w:szCs w:val="16"/>
                  <w:rFonts w:ascii="Calibri" w:hAnsi="Calibri" w:eastAsia="Hiragino Sans GB"/>
                </w:rPr>
                <w:t>人民币汇率路径与 USD/CNH 对冲阈值</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5">
              <w:r>
                <w:rPr>
                  <w:color w:val="1D5FD1"/>
                  <w:u w:val="single"/>
                  <w:b/>
                  <w:sz w:val="16"/>
                  <w:szCs w:val="16"/>
                  <w:rFonts w:ascii="Calibri" w:hAnsi="Calibri" w:eastAsia="Hiragino Sans GB"/>
                </w:rPr>
                <w:t>全球能源转型进展跟踪</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39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6">
              <w:r>
                <w:rPr>
                  <w:color w:val="1D5FD1"/>
                  <w:u w:val="single"/>
                  <w:b/>
                  <w:sz w:val="16"/>
                  <w:szCs w:val="16"/>
                  <w:rFonts w:ascii="Calibri" w:hAnsi="Calibri" w:eastAsia="Hiragino Sans GB"/>
                </w:rPr>
                <w:t>美伊停火协议破裂与油价反弹：对美国通胀及2026年7月美联储决议的影响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7">
              <w:r>
                <w:rPr>
                  <w:color w:val="1D5FD1"/>
                  <w:u w:val="single"/>
                  <w:b/>
                  <w:sz w:val="16"/>
                  <w:szCs w:val="16"/>
                  <w:rFonts w:ascii="Calibri" w:hAnsi="Calibri" w:eastAsia="Hiragino Sans GB"/>
                </w:rPr>
                <w:t>商业银行息差压力与分红韧性评估（截至 2026-07-20）[S0]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8">
              <w:r>
                <w:rPr>
                  <w:color w:val="1D5FD1"/>
                  <w:u w:val="single"/>
                  <w:b/>
                  <w:sz w:val="16"/>
                  <w:szCs w:val="16"/>
                  <w:rFonts w:ascii="Calibri" w:hAnsi="Calibri" w:eastAsia="Hiragino Sans GB"/>
                </w:rPr>
                <w:t>2026-07-20 宏观传导：霍尔木兹路线风险缺口、美国通胀预期与7月FOMC沟通 [自测算]</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99">
              <w:r>
                <w:rPr>
                  <w:color w:val="1D5FD1"/>
                  <w:u w:val="single"/>
                  <w:b/>
                  <w:sz w:val="16"/>
                  <w:szCs w:val="16"/>
                  <w:rFonts w:ascii="Calibri" w:hAnsi="Calibri" w:eastAsia="Hiragino Sans GB"/>
                </w:rPr>
                <w:t>2026-07-20：AI资本开支从金额竞赛转向“可通电、可回收、可变现”</w:t>
              </w:r>
            </w:hyperlink>
            <w:r>
              <w:rPr>
                <w:rFonts w:ascii="Calibri" w:hAnsi="Calibri" w:eastAsia="Hiragino Sans GB"/>
                <w:color w:val="5E6268"/>
                <w:sz w:val="14"/>
              </w:rPr>
              <w:br/>
              <w:t>AI Institute 综合编辑 · Reader report</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daily_synthesis</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0">
              <w:r>
                <w:rPr>
                  <w:color w:val="1D5FD1"/>
                  <w:u w:val="single"/>
                  <w:b/>
                  <w:sz w:val="16"/>
                  <w:szCs w:val="16"/>
                  <w:rFonts w:ascii="Calibri" w:hAnsi="Calibri" w:eastAsia="Hiragino Sans GB"/>
                </w:rPr>
                <w:t>2026-07-20｜均值回归窗口下的A股中小盘筹码出清与期权对冲策略</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1">
              <w:r>
                <w:rPr>
                  <w:color w:val="1D5FD1"/>
                  <w:u w:val="single"/>
                  <w:b/>
                  <w:sz w:val="16"/>
                  <w:szCs w:val="16"/>
                  <w:rFonts w:ascii="Calibri" w:hAnsi="Calibri" w:eastAsia="Hiragino Sans GB"/>
                </w:rPr>
                <w:t>AI 硅-电再平衡：半导体去杠杆阵痛与电力/电网物理瓶颈的估值重塑 (2026-07-20 盘前)</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2">
              <w:r>
                <w:rPr>
                  <w:color w:val="1D5FD1"/>
                  <w:u w:val="single"/>
                  <w:b/>
                  <w:sz w:val="16"/>
                  <w:szCs w:val="16"/>
                  <w:rFonts w:ascii="Calibri" w:hAnsi="Calibri" w:eastAsia="Hiragino Sans GB"/>
                </w:rPr>
                <w:t>A股硬科技仓位（2026-07-20）：维持40%，但重配风险</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3">
              <w:r>
                <w:rPr>
                  <w:color w:val="1D5FD1"/>
                  <w:u w:val="single"/>
                  <w:b/>
                  <w:sz w:val="16"/>
                  <w:szCs w:val="16"/>
                  <w:rFonts w:ascii="Calibri" w:hAnsi="Calibri" w:eastAsia="Hiragino Sans GB"/>
                </w:rPr>
                <w:t>上市银行净息差趋势与驱动因素深度分析报告 (2024-2026)</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4">
              <w:r>
                <w:rPr>
                  <w:color w:val="1D5FD1"/>
                  <w:u w:val="single"/>
                  <w:b/>
                  <w:sz w:val="16"/>
                  <w:szCs w:val="16"/>
                  <w:rFonts w:ascii="Calibri" w:hAnsi="Calibri" w:eastAsia="Hiragino Sans GB"/>
                </w:rPr>
                <w:t>2026-07-20 半导体研究记录 02：先进封装良率压力、国内 Fab 毛利率与设备验证速度</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5">
              <w:r>
                <w:rPr>
                  <w:color w:val="1D5FD1"/>
                  <w:u w:val="single"/>
                  <w:b/>
                  <w:sz w:val="16"/>
                  <w:szCs w:val="16"/>
                  <w:rFonts w:ascii="Calibri" w:hAnsi="Calibri" w:eastAsia="Hiragino Sans GB"/>
                </w:rPr>
                <w:t>首席风控官每日风险报告 (Chief Risk Officer Daily Risk Report)</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49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4">
              <w:r>
                <w:rPr>
                  <w:color w:val="1D5FD1"/>
                  <w:u w:val="single"/>
                  <w:b/>
                  <w:sz w:val="16"/>
                  <w:szCs w:val="16"/>
                  <w:rFonts w:ascii="Calibri" w:hAnsi="Calibri" w:eastAsia="Hiragino Sans GB"/>
                </w:rPr>
                <w:t>首席风控官每日风险监测与VaR超限预警报告 (Daily VaR Alert &amp; Portfolio Risk Watch)</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6">
              <w:r>
                <w:rPr>
                  <w:color w:val="1D5FD1"/>
                  <w:u w:val="single"/>
                  <w:b/>
                  <w:sz w:val="16"/>
                  <w:szCs w:val="16"/>
                  <w:rFonts w:ascii="Calibri" w:hAnsi="Calibri" w:eastAsia="Hiragino Sans GB"/>
                </w:rPr>
                <w:t>下半年地方债置换与净息差极限下行下上市银行的分红率稳定性与资本补充压力测试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7">
              <w:r>
                <w:rPr>
                  <w:color w:val="1D5FD1"/>
                  <w:u w:val="single"/>
                  <w:b/>
                  <w:sz w:val="16"/>
                  <w:szCs w:val="16"/>
                  <w:rFonts w:ascii="Calibri" w:hAnsi="Calibri" w:eastAsia="Hiragino Sans GB"/>
                </w:rPr>
                <w:t>2026-07-20｜ETF被动化浪潮对A股K型分化与杠铃策略“双腿”内部结构的分裂效应</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8">
              <w:r>
                <w:rPr>
                  <w:color w:val="1D5FD1"/>
                  <w:u w:val="single"/>
                  <w:b/>
                  <w:sz w:val="16"/>
                  <w:szCs w:val="16"/>
                  <w:rFonts w:ascii="Calibri" w:hAnsi="Calibri" w:eastAsia="Hiragino Sans GB"/>
                </w:rPr>
                <w:t>2026-07-20当周净AI篮子重新配权</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09">
              <w:r>
                <w:rPr>
                  <w:color w:val="1D5FD1"/>
                  <w:u w:val="single"/>
                  <w:b/>
                  <w:sz w:val="16"/>
                  <w:szCs w:val="16"/>
                  <w:rFonts w:ascii="Calibri" w:hAnsi="Calibri" w:eastAsia="Hiragino Sans GB"/>
                </w:rPr>
                <w:t>A股两融跌破2.75万亿触发的跨资产再平衡交易清单与执行方案（截至 2026-07-20） [S0]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0">
              <w:r>
                <w:rPr>
                  <w:color w:val="1D5FD1"/>
                  <w:u w:val="single"/>
                  <w:b/>
                  <w:sz w:val="16"/>
                  <w:szCs w:val="16"/>
                  <w:rFonts w:ascii="Calibri" w:hAnsi="Calibri" w:eastAsia="Hiragino Sans GB"/>
                </w:rPr>
                <w:t>MSTR 比特币飞轮裂痕辩论 - 研究记录 04 (综合报告)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1">
              <w:r>
                <w:rPr>
                  <w:color w:val="1D5FD1"/>
                  <w:u w:val="single"/>
                  <w:b/>
                  <w:sz w:val="16"/>
                  <w:szCs w:val="16"/>
                  <w:rFonts w:ascii="Calibri" w:hAnsi="Calibri" w:eastAsia="Hiragino Sans GB"/>
                </w:rPr>
                <w:t>MSTR 比特币飞轮裂痕辩论 - 研究记录 05 (中文报告)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7">
              <w:r>
                <w:rPr>
                  <w:color w:val="1D5FD1"/>
                  <w:u w:val="single"/>
                  <w:b/>
                  <w:sz w:val="16"/>
                  <w:szCs w:val="16"/>
                  <w:rFonts w:ascii="Calibri" w:hAnsi="Calibri" w:eastAsia="Hiragino Sans GB"/>
                </w:rPr>
                <w:t>并网瓶颈下的超大规模算力集群部署时序</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2">
              <w:r>
                <w:rPr>
                  <w:color w:val="1D5FD1"/>
                  <w:u w:val="single"/>
                  <w:b/>
                  <w:sz w:val="16"/>
                  <w:szCs w:val="16"/>
                  <w:rFonts w:ascii="Calibri" w:hAnsi="Calibri" w:eastAsia="Hiragino Sans GB"/>
                </w:rPr>
                <w:t>科创板硬科技重配与两融去杠杆门槛：8月中报前的日度确认机制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3">
              <w:r>
                <w:rPr>
                  <w:color w:val="1D5FD1"/>
                  <w:u w:val="single"/>
                  <w:b/>
                  <w:sz w:val="16"/>
                  <w:szCs w:val="16"/>
                  <w:rFonts w:ascii="Calibri" w:hAnsi="Calibri" w:eastAsia="Hiragino Sans GB"/>
                </w:rPr>
                <w:t>全球宏观与固定收益研究：taxable 政府债收益率重定价与商业银行 CET1/AOCI 敏感性压力测试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59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4">
              <w:r>
                <w:rPr>
                  <w:color w:val="1D5FD1"/>
                  <w:u w:val="single"/>
                  <w:b/>
                  <w:sz w:val="16"/>
                  <w:szCs w:val="16"/>
                  <w:rFonts w:ascii="Calibri" w:hAnsi="Calibri" w:eastAsia="Hiragino Sans GB"/>
                </w:rPr>
                <w:t>全球宏观经济研究：商业银行政府债重定价估值冲击对广义信贷扩张与中央银行货币政策传导效率的非线...</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5">
              <w:r>
                <w:rPr>
                  <w:color w:val="1D5FD1"/>
                  <w:u w:val="single"/>
                  <w:b/>
                  <w:sz w:val="16"/>
                  <w:szCs w:val="16"/>
                  <w:rFonts w:ascii="Calibri" w:hAnsi="Calibri" w:eastAsia="Hiragino Sans GB"/>
                </w:rPr>
                <w:t>全球信用利差专题监控报告：极度收窄的估值与日央行紧缩下的分化</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6">
              <w:r>
                <w:rPr>
                  <w:color w:val="1D5FD1"/>
                  <w:u w:val="single"/>
                  <w:b/>
                  <w:sz w:val="16"/>
                  <w:szCs w:val="16"/>
                  <w:rFonts w:ascii="Calibri" w:hAnsi="Calibri" w:eastAsia="Hiragino Sans GB"/>
                </w:rPr>
                <w:t>2026-07-20 A股策略卡：B段净化后重组完整12%内需弹药</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stock_evidence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7">
              <w:r>
                <w:rPr>
                  <w:color w:val="1D5FD1"/>
                  <w:u w:val="single"/>
                  <w:b/>
                  <w:sz w:val="16"/>
                  <w:szCs w:val="16"/>
                  <w:rFonts w:ascii="Calibri" w:hAnsi="Calibri" w:eastAsia="Hiragino Sans GB"/>
                </w:rPr>
                <w:t>2026-07-20｜2026年12月解禁高峰附近的MO put spread、IM hedge比例与基差风险压力测试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8">
              <w:r>
                <w:rPr>
                  <w:color w:val="1D5FD1"/>
                  <w:u w:val="single"/>
                  <w:b/>
                  <w:sz w:val="16"/>
                  <w:szCs w:val="16"/>
                  <w:rFonts w:ascii="Calibri" w:hAnsi="Calibri" w:eastAsia="Hiragino Sans GB"/>
                </w:rPr>
                <w:t>全球宏观流动性与加密期权对冲传导机制 - 研究记录 06 (中文报告)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19">
              <w:r>
                <w:rPr>
                  <w:color w:val="1D5FD1"/>
                  <w:u w:val="single"/>
                  <w:b/>
                  <w:sz w:val="16"/>
                  <w:szCs w:val="16"/>
                  <w:rFonts w:ascii="Calibri" w:hAnsi="Calibri" w:eastAsia="Hiragino Sans GB"/>
                </w:rPr>
                <w:t>强美元与石油进口冲击向中国的传导：输入型通胀、CNY压力与A股风格轮动</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0">
              <w:r>
                <w:rPr>
                  <w:color w:val="1D5FD1"/>
                  <w:u w:val="single"/>
                  <w:b/>
                  <w:sz w:val="16"/>
                  <w:szCs w:val="16"/>
                  <w:rFonts w:ascii="Calibri" w:hAnsi="Calibri" w:eastAsia="Hiragino Sans GB"/>
                </w:rPr>
                <w:t>MSTR 比特币飞轮裂痕辩论 - 研究记录 02</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1">
              <w:r>
                <w:rPr>
                  <w:color w:val="1D5FD1"/>
                  <w:u w:val="single"/>
                  <w:b/>
                  <w:sz w:val="16"/>
                  <w:szCs w:val="16"/>
                  <w:rFonts w:ascii="Calibri" w:hAnsi="Calibri" w:eastAsia="Hiragino Sans GB"/>
                </w:rPr>
                <w:t>2026-07-20 — 首席策略师研究记录：维持利率但措辞转软情形下的跨资产配置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2">
              <w:r>
                <w:rPr>
                  <w:color w:val="1D5FD1"/>
                  <w:u w:val="single"/>
                  <w:b/>
                  <w:sz w:val="16"/>
                  <w:szCs w:val="16"/>
                  <w:rFonts w:ascii="Calibri" w:hAnsi="Calibri" w:eastAsia="Hiragino Sans GB"/>
                </w:rPr>
                <w:t>Active research-project theses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3">
              <w:r>
                <w:rPr>
                  <w:color w:val="1D5FD1"/>
                  <w:u w:val="single"/>
                  <w:b/>
                  <w:sz w:val="16"/>
                  <w:szCs w:val="16"/>
                  <w:rFonts w:ascii="Calibri" w:hAnsi="Calibri" w:eastAsia="Hiragino Sans GB"/>
                </w:rPr>
                <w:t>最终配置调和 - 研究记录 08</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69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4">
              <w:r>
                <w:rPr>
                  <w:color w:val="1D5FD1"/>
                  <w:u w:val="single"/>
                  <w:b/>
                  <w:sz w:val="16"/>
                  <w:szCs w:val="16"/>
                  <w:rFonts w:ascii="Calibri" w:hAnsi="Calibri" w:eastAsia="Hiragino Sans GB"/>
                </w:rPr>
                <w:t>凸性定价与期权结构化：9月FOMC利率价差与布伦特看涨价差</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5">
              <w:r>
                <w:rPr>
                  <w:color w:val="1D5FD1"/>
                  <w:u w:val="single"/>
                  <w:b/>
                  <w:sz w:val="16"/>
                  <w:szCs w:val="16"/>
                  <w:rFonts w:ascii="Calibri" w:hAnsi="Calibri" w:eastAsia="Hiragino Sans GB"/>
                </w:rPr>
                <w:t>医药与采购政策对宏观流动性传导的挑战 - 研究记录 07 (中文报告)</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71</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6">
              <w:r>
                <w:rPr>
                  <w:color w:val="1D5FD1"/>
                  <w:u w:val="single"/>
                  <w:b/>
                  <w:sz w:val="16"/>
                  <w:szCs w:val="16"/>
                  <w:rFonts w:ascii="Calibri" w:hAnsi="Calibri" w:eastAsia="Hiragino Sans GB"/>
                </w:rPr>
                <w:t>日报总编午间同步简报（2026-07-20）</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72</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7">
              <w:r>
                <w:rPr>
                  <w:color w:val="1D5FD1"/>
                  <w:u w:val="single"/>
                  <w:b/>
                  <w:sz w:val="16"/>
                  <w:szCs w:val="16"/>
                  <w:rFonts w:ascii="Calibri" w:hAnsi="Calibri" w:eastAsia="Hiragino Sans GB"/>
                </w:rPr>
                <w:t>§1 THESIS</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thesis_evidence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73</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8">
              <w:r>
                <w:rPr>
                  <w:color w:val="1D5FD1"/>
                  <w:u w:val="single"/>
                  <w:b/>
                  <w:sz w:val="16"/>
                  <w:szCs w:val="16"/>
                  <w:rFonts w:ascii="Calibri" w:hAnsi="Calibri" w:eastAsia="Hiragino Sans GB"/>
                </w:rPr>
                <w:t>补库是真实的——但820亿美元是一次重复计算。扣除它自身触发的价格红利后，净拖累约为280亿美元</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74</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29">
              <w:r>
                <w:rPr>
                  <w:color w:val="1D5FD1"/>
                  <w:u w:val="single"/>
                  <w:b/>
                  <w:sz w:val="16"/>
                  <w:szCs w:val="16"/>
                  <w:rFonts w:ascii="Calibri" w:hAnsi="Calibri" w:eastAsia="Hiragino Sans GB"/>
                </w:rPr>
                <w:t>A股融资融券最新数据分析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75</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0">
              <w:r>
                <w:rPr>
                  <w:color w:val="1D5FD1"/>
                  <w:u w:val="single"/>
                  <w:b/>
                  <w:sz w:val="16"/>
                  <w:szCs w:val="16"/>
                  <w:rFonts w:ascii="Calibri" w:hAnsi="Calibri" w:eastAsia="Hiragino Sans GB"/>
                </w:rPr>
                <w:t>PJM容量价格剧烈波动下AI相关高级ABS的信用利差扩张与回收率压力测试</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76</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1">
              <w:r>
                <w:rPr>
                  <w:color w:val="1D5FD1"/>
                  <w:u w:val="single"/>
                  <w:b/>
                  <w:sz w:val="16"/>
                  <w:szCs w:val="16"/>
                  <w:rFonts w:ascii="Calibri" w:hAnsi="Calibri" w:eastAsia="Hiragino Sans GB"/>
                </w:rPr>
                <w:t>电力墙真的砍掉了Hyperscaler的资本开支吗？在PJM约束下审读2025–2027年计划</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77</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2">
              <w:r>
                <w:rPr>
                  <w:color w:val="1D5FD1"/>
                  <w:u w:val="single"/>
                  <w:b/>
                  <w:sz w:val="16"/>
                  <w:szCs w:val="16"/>
                  <w:rFonts w:ascii="Calibri" w:hAnsi="Calibri" w:eastAsia="Hiragino Sans GB"/>
                </w:rPr>
                <w:t>2026-07-20 — 首席风控官报告：两融2.86万亿元触线后的组合级保证金冲击与风险限额复核</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thesis_context / lane_evidence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78</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3">
              <w:r>
                <w:rPr>
                  <w:color w:val="1D5FD1"/>
                  <w:u w:val="single"/>
                  <w:b/>
                  <w:sz w:val="16"/>
                  <w:szCs w:val="16"/>
                  <w:rFonts w:ascii="Calibri" w:hAnsi="Calibri" w:eastAsia="Hiragino Sans GB"/>
                </w:rPr>
                <w:t>2026-07-20 A股策略卡：两个需求闸门触发后的A股实施篮子</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79</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134">
              <w:r>
                <w:rPr>
                  <w:color w:val="1D5FD1"/>
                  <w:u w:val="single"/>
                  <w:b/>
                  <w:sz w:val="16"/>
                  <w:szCs w:val="16"/>
                  <w:rFonts w:ascii="Calibri" w:hAnsi="Calibri" w:eastAsia="Hiragino Sans GB"/>
                </w:rPr>
                <w:t>2026-07-20 两融去杠杆与汇率约束下的宏观流动性再平衡</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w:t>
            </w:r>
          </w:p>
        </w:tc>
      </w:tr>
      <w:tr>
        <w:trPr>
          <w:cantSplit/>
        </w:trPr>
        <w:tc>
          <w:tcPr>
            <w:tcW w:type="dxa" w:w="520"/>
            <w:tcMar>
              <w:top w:w="80" w:type="dxa"/>
              <w:bottom w:w="80" w:type="dxa"/>
              <w:start w:w="120" w:type="dxa"/>
              <w:end w:w="120" w:type="dxa"/>
            </w:tcMar>
          </w:tcPr>
          <w:p>
            <w:pPr>
              <w:spacing w:before="0" w:after="0" w:line="252" w:lineRule="auto"/>
            </w:pPr>
            <w:r>
              <w:rPr>
                <w:rFonts w:ascii="Calibri" w:hAnsi="Calibri" w:eastAsia="Hiragino Sans GB"/>
                <w:b/>
                <w:color w:val="5E6268"/>
                <w:sz w:val="15"/>
              </w:rPr>
              <w:t>80</w:t>
            </w:r>
          </w:p>
        </w:tc>
        <w:tc>
          <w:tcPr>
            <w:tcW w:type="dxa" w:w="1240"/>
            <w:tcMar>
              <w:top w:w="80" w:type="dxa"/>
              <w:bottom w:w="80" w:type="dxa"/>
              <w:start w:w="120" w:type="dxa"/>
              <w:end w:w="120" w:type="dxa"/>
            </w:tcMar>
          </w:tcPr>
          <w:p>
            <w:pPr>
              <w:spacing w:before="0" w:after="0" w:line="252" w:lineRule="auto"/>
            </w:pPr>
            <w:r>
              <w:rPr>
                <w:rFonts w:ascii="Calibri" w:hAnsi="Calibri" w:eastAsia="Hiragino Sans GB"/>
                <w:b w:val="0"/>
                <w:color w:val="111111"/>
                <w:sz w:val="15"/>
              </w:rPr>
              <w:t>2026-07-20</w:t>
            </w:r>
          </w:p>
        </w:tc>
        <w:tc>
          <w:tcPr>
            <w:tcW w:type="dxa" w:w="5940"/>
            <w:tcMar>
              <w:top w:w="80" w:type="dxa"/>
              <w:bottom w:w="80" w:type="dxa"/>
              <w:start w:w="120" w:type="dxa"/>
              <w:end w:w="120" w:type="dxa"/>
            </w:tcMar>
          </w:tcPr>
          <w:p>
            <w:pPr>
              <w:spacing w:after="20"/>
            </w:pPr>
            <w:hyperlink r:id="rId22">
              <w:r>
                <w:rPr>
                  <w:color w:val="1D5FD1"/>
                  <w:u w:val="single"/>
                  <w:b/>
                  <w:sz w:val="16"/>
                  <w:szCs w:val="16"/>
                  <w:rFonts w:ascii="Calibri" w:hAnsi="Calibri" w:eastAsia="Hiragino Sans GB"/>
                </w:rPr>
                <w:t>2026-07-20｜A股指数重仓股估值溢价与中小盘流动性折价的边界测算与均值回归触发条件</w:t>
              </w:r>
            </w:hyperlink>
            <w:r>
              <w:rPr>
                <w:rFonts w:ascii="Calibri" w:hAnsi="Calibri" w:eastAsia="Hiragino Sans GB"/>
                <w:color w:val="5E6268"/>
                <w:sz w:val="14"/>
              </w:rPr>
              <w:br/>
              <w:t>AI Institute · 研究档案</w:t>
            </w:r>
          </w:p>
        </w:tc>
        <w:tc>
          <w:tcPr>
            <w:tcW w:type="dxa" w:w="1660"/>
            <w:tcMar>
              <w:top w:w="80" w:type="dxa"/>
              <w:bottom w:w="80" w:type="dxa"/>
              <w:start w:w="120" w:type="dxa"/>
              <w:end w:w="120" w:type="dxa"/>
            </w:tcMar>
          </w:tcPr>
          <w:p>
            <w:pPr>
              <w:spacing w:before="0" w:after="0" w:line="252" w:lineRule="auto"/>
            </w:pPr>
            <w:r>
              <w:rPr>
                <w:rFonts w:ascii="Calibri" w:hAnsi="Calibri" w:eastAsia="Hiragino Sans GB"/>
                <w:b w:val="0"/>
                <w:color w:val="5E6268"/>
                <w:sz w:val="14"/>
              </w:rPr>
              <w:t>challenge / lane_evidence</w:t>
            </w:r>
          </w:p>
        </w:tc>
      </w:tr>
    </w:tbl>
    <w:p>
      <w:pPr>
        <w:pStyle w:val="TableCitation"/>
      </w:pPr>
      <w:r>
        <w:t>来源账本来自同一周度发布合约；未引入私有运行记录、密钥或内部提示。</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Hiragino Sans GB"/>
        <w:b/>
        <w:color w:val="5E6268"/>
        <w:sz w:val="17"/>
      </w:rPr>
      <w:t xml:space="preserve">ADMIN RESEARCH PUBLICATION  ·  </w:t>
    </w:r>
    <w:r>
      <w:rPr>
        <w:rFonts w:ascii="Calibri" w:hAnsi="Calibri" w:eastAsia="Hiragino Sans GB"/>
        <w:color w:val="5E6268"/>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Hiragino Sans GB"/>
        <w:b/>
        <w:color w:val="5E6268"/>
        <w:sz w:val="17"/>
      </w:rPr>
      <w:t>AI INSTITUTE  /  WEEKLY RESEARCH  /  2026-W30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264" w:lineRule="auto"/>
    </w:pPr>
    <w:rPr>
      <w:rFonts w:ascii="Calibri" w:hAnsi="Calibri" w:eastAsia="Hiragino Sans GB"/>
      <w:b w:val="0"/>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Hiragino Sans GB"/>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Hiragino Sans GB"/>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Hiragino Sans GB"/>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itation">
    <w:name w:val="Table Citation"/>
    <w:pPr>
      <w:keepNext w:val="0"/>
      <w:spacing w:before="80" w:after="80" w:line="240" w:lineRule="auto"/>
    </w:pPr>
    <w:rPr>
      <w:rFonts w:ascii="Calibri" w:hAnsi="Calibri" w:eastAsia="Hiragino Sans GB"/>
      <w:b w:val="0"/>
      <w:color w:val="5E6268"/>
      <w:sz w:val="17"/>
    </w:rPr>
  </w:style>
  <w:style w:type="paragraph" w:customStyle="1" w:styleId="SectionLabel">
    <w:name w:val="Section Label"/>
    <w:pPr>
      <w:keepNext/>
      <w:spacing w:before="0" w:after="80" w:line="240" w:lineRule="auto"/>
    </w:pPr>
    <w:rPr>
      <w:rFonts w:ascii="Calibri" w:hAnsi="Calibri" w:eastAsia="Hiragino Sans GB"/>
      <w:b/>
      <w:color w:val="1D5FD1"/>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vibe-alpha-three.vercel.app/investor/panorama/2026-W30/" TargetMode="External"/><Relationship Id="rId12" Type="http://schemas.openxmlformats.org/officeDocument/2006/relationships/hyperlink" Target="https://vibe-alpha-three.vercel.app/investor/lanes/ai-compute-semiconductors/" TargetMode="External"/><Relationship Id="rId13" Type="http://schemas.openxmlformats.org/officeDocument/2006/relationships/hyperlink" Target="https://vibe-alpha-three.vercel.app/investor/lanes/china-equity-liquidity/" TargetMode="External"/><Relationship Id="rId14" Type="http://schemas.openxmlformats.org/officeDocument/2006/relationships/hyperlink" Target="https://vibe-alpha-three.vercel.app/investor/lanes/a-share-dividend-and-hard-tech-barbell/" TargetMode="External"/><Relationship Id="rId15" Type="http://schemas.openxmlformats.org/officeDocument/2006/relationships/hyperlink" Target="https://vibe-alpha-three.vercel.app/investor/lanes/ai-reflation-and-rate-sensitive-assets/" TargetMode="External"/><Relationship Id="rId16" Type="http://schemas.openxmlformats.org/officeDocument/2006/relationships/hyperlink" Target="https://vibe-alpha-three.vercel.app/investor/lanes/mag7-ai-platform-re-layering/" TargetMode="External"/><Relationship Id="rId17" Type="http://schemas.openxmlformats.org/officeDocument/2006/relationships/hyperlink" Target="https://vibe-alpha-three.vercel.app/investor/reports/archive-26dafb523be7/" TargetMode="External"/><Relationship Id="rId18" Type="http://schemas.openxmlformats.org/officeDocument/2006/relationships/hyperlink" Target="https://vibe-alpha-three.vercel.app/investor/reports/archive-51e6364bd067/" TargetMode="External"/><Relationship Id="rId19" Type="http://schemas.openxmlformats.org/officeDocument/2006/relationships/hyperlink" Target="https://vibe-alpha-three.vercel.app/investor/reports/archive-1a12c7228f79/" TargetMode="External"/><Relationship Id="rId20" Type="http://schemas.openxmlformats.org/officeDocument/2006/relationships/hyperlink" Target="https://vibe-alpha-three.vercel.app/investor/theses/thesis-b976d8330e/" TargetMode="External"/><Relationship Id="rId21" Type="http://schemas.openxmlformats.org/officeDocument/2006/relationships/hyperlink" Target="https://vibe-alpha-three.vercel.app/investor/reports/archive-3d29081edb6c/" TargetMode="External"/><Relationship Id="rId22" Type="http://schemas.openxmlformats.org/officeDocument/2006/relationships/hyperlink" Target="https://vibe-alpha-three.vercel.app/investor/reports/archive-397c92bd74a5/" TargetMode="External"/><Relationship Id="rId23" Type="http://schemas.openxmlformats.org/officeDocument/2006/relationships/hyperlink" Target="https://vibe-alpha-three.vercel.app/investor/theses/thesis-ce29facfbd/" TargetMode="External"/><Relationship Id="rId24" Type="http://schemas.openxmlformats.org/officeDocument/2006/relationships/hyperlink" Target="https://vibe-alpha-three.vercel.app/investor/reports/archive-fcb7c8a520a9/" TargetMode="External"/><Relationship Id="rId25" Type="http://schemas.openxmlformats.org/officeDocument/2006/relationships/hyperlink" Target="https://vibe-alpha-three.vercel.app/investor/reports/archive-505a8ff6e789/" TargetMode="External"/><Relationship Id="rId26" Type="http://schemas.openxmlformats.org/officeDocument/2006/relationships/hyperlink" Target="https://vibe-alpha-three.vercel.app/investor/theses/thesis-70daf87262/" TargetMode="External"/><Relationship Id="rId27" Type="http://schemas.openxmlformats.org/officeDocument/2006/relationships/hyperlink" Target="https://vibe-alpha-three.vercel.app/investor/theses/thesis-075017003b/" TargetMode="External"/><Relationship Id="rId28" Type="http://schemas.openxmlformats.org/officeDocument/2006/relationships/hyperlink" Target="https://vibe-alpha-three.vercel.app/investor/theses/thesis-8c5a9690a0/" TargetMode="External"/><Relationship Id="rId29" Type="http://schemas.openxmlformats.org/officeDocument/2006/relationships/hyperlink" Target="https://vibe-alpha-three.vercel.app/investor/stocks/600900.SH/" TargetMode="External"/><Relationship Id="rId30" Type="http://schemas.openxmlformats.org/officeDocument/2006/relationships/hyperlink" Target="https://vibe-alpha-three.vercel.app/investor/stocks/601398.SH/" TargetMode="External"/><Relationship Id="rId31" Type="http://schemas.openxmlformats.org/officeDocument/2006/relationships/hyperlink" Target="https://vibe-alpha-three.vercel.app/investor/stocks/601088.SH/" TargetMode="External"/><Relationship Id="rId32" Type="http://schemas.openxmlformats.org/officeDocument/2006/relationships/hyperlink" Target="https://vibe-alpha-three.vercel.app/investor/stocks/600941.SH/" TargetMode="External"/><Relationship Id="rId33" Type="http://schemas.openxmlformats.org/officeDocument/2006/relationships/hyperlink" Target="https://vibe-alpha-three.vercel.app/investor/stocks/588000.SH/" TargetMode="External"/><Relationship Id="rId34" Type="http://schemas.openxmlformats.org/officeDocument/2006/relationships/hyperlink" Target="https://vibe-alpha-three.vercel.app/investor/stocks/688981.SH/" TargetMode="External"/><Relationship Id="rId35" Type="http://schemas.openxmlformats.org/officeDocument/2006/relationships/hyperlink" Target="https://vibe-alpha-three.vercel.app/investor/stocks/META/" TargetMode="External"/><Relationship Id="rId36" Type="http://schemas.openxmlformats.org/officeDocument/2006/relationships/hyperlink" Target="https://vibe-alpha-three.vercel.app/investor/stocks/MSFT/" TargetMode="External"/><Relationship Id="rId37" Type="http://schemas.openxmlformats.org/officeDocument/2006/relationships/hyperlink" Target="https://vibe-alpha-three.vercel.app/investor/stocks/XLU/" TargetMode="External"/><Relationship Id="rId38" Type="http://schemas.openxmlformats.org/officeDocument/2006/relationships/hyperlink" Target="https://vibe-alpha-three.vercel.app/investor/stocks/AMZN/" TargetMode="External"/><Relationship Id="rId39" Type="http://schemas.openxmlformats.org/officeDocument/2006/relationships/hyperlink" Target="https://vibe-alpha-three.vercel.app/investor/stocks/GOOGL/" TargetMode="External"/><Relationship Id="rId40" Type="http://schemas.openxmlformats.org/officeDocument/2006/relationships/hyperlink" Target="https://vibe-alpha-three.vercel.app/investor/stocks/NVDA/" TargetMode="External"/><Relationship Id="rId41" Type="http://schemas.openxmlformats.org/officeDocument/2006/relationships/hyperlink" Target="https://vibe-alpha-three.vercel.app/investor/stocks/TSM/" TargetMode="External"/><Relationship Id="rId42" Type="http://schemas.openxmlformats.org/officeDocument/2006/relationships/hyperlink" Target="https://vibe-alpha-three.vercel.app/investor/stocks/MU/" TargetMode="External"/><Relationship Id="rId43" Type="http://schemas.openxmlformats.org/officeDocument/2006/relationships/hyperlink" Target="https://vibe-alpha-three.vercel.app/investor/stocks/000660.KS/" TargetMode="External"/><Relationship Id="rId44" Type="http://schemas.openxmlformats.org/officeDocument/2006/relationships/hyperlink" Target="https://vibe-alpha-three.vercel.app/investor/stocks/AMD/" TargetMode="External"/><Relationship Id="rId45" Type="http://schemas.openxmlformats.org/officeDocument/2006/relationships/hyperlink" Target="https://vibe-alpha-three.vercel.app/investor/stocks/9922.HK/" TargetMode="External"/><Relationship Id="rId46" Type="http://schemas.openxmlformats.org/officeDocument/2006/relationships/hyperlink" Target="https://vibe-alpha-three.vercel.app/investor/stocks/001215.SZ/" TargetMode="External"/><Relationship Id="rId47" Type="http://schemas.openxmlformats.org/officeDocument/2006/relationships/hyperlink" Target="https://vibe-alpha-three.vercel.app/investor/stocks/3690.HK/" TargetMode="External"/><Relationship Id="rId48" Type="http://schemas.openxmlformats.org/officeDocument/2006/relationships/hyperlink" Target="https://vibe-alpha-three.vercel.app/investor/stocks/YUMC/" TargetMode="External"/><Relationship Id="rId49" Type="http://schemas.openxmlformats.org/officeDocument/2006/relationships/hyperlink" Target="https://vibe-alpha-three.vercel.app/investor/stocks/1179.HK/" TargetMode="External"/><Relationship Id="rId50" Type="http://schemas.openxmlformats.org/officeDocument/2006/relationships/hyperlink" Target="https://vibe-alpha-three.vercel.app/investor/stocks/0780.HK/" TargetMode="External"/><Relationship Id="rId51" Type="http://schemas.openxmlformats.org/officeDocument/2006/relationships/hyperlink" Target="https://vibe-alpha-three.vercel.app/investor/lanes/ai-power-and-grid-equipment/" TargetMode="External"/><Relationship Id="rId52" Type="http://schemas.openxmlformats.org/officeDocument/2006/relationships/hyperlink" Target="https://vibe-alpha-three.vercel.app/investor/lanes/a-share-semiconductor-margin-and-negative-gamma/" TargetMode="External"/><Relationship Id="rId53" Type="http://schemas.openxmlformats.org/officeDocument/2006/relationships/hyperlink" Target="https://vibe-alpha-three.vercel.app/investor/lanes/a-share-risk-appetite-and-margin/" TargetMode="External"/><Relationship Id="rId54" Type="http://schemas.openxmlformats.org/officeDocument/2006/relationships/hyperlink" Target="https://vibe-alpha-three.vercel.app/investor/lanes/advanced-packaging-and-hbm4-gate/" TargetMode="External"/><Relationship Id="rId55" Type="http://schemas.openxmlformats.org/officeDocument/2006/relationships/hyperlink" Target="https://vibe-alpha-three.vercel.app/investor/lanes/oil-gas-and-geopolitical-inflation/" TargetMode="External"/><Relationship Id="rId56" Type="http://schemas.openxmlformats.org/officeDocument/2006/relationships/hyperlink" Target="https://vibe-alpha-three.vercel.app/investor/lanes/us-rates-and-dollar-repricing/" TargetMode="External"/><Relationship Id="rId57" Type="http://schemas.openxmlformats.org/officeDocument/2006/relationships/hyperlink" Target="https://vibe-alpha-three.vercel.app/investor/lanes/a-share-hard-tech-and-star50/" TargetMode="External"/><Relationship Id="rId58" Type="http://schemas.openxmlformats.org/officeDocument/2006/relationships/hyperlink" Target="https://vibe-alpha-three.vercel.app/investor/lanes/yen-carry-and-em-tech-liquidity/" TargetMode="External"/><Relationship Id="rId59" Type="http://schemas.openxmlformats.org/officeDocument/2006/relationships/hyperlink" Target="https://vibe-alpha-three.vercel.app/investor/lanes/food-processing-and-input-cost-transmission/" TargetMode="External"/><Relationship Id="rId60" Type="http://schemas.openxmlformats.org/officeDocument/2006/relationships/hyperlink" Target="https://vibe-alpha-three.vercel.app/investor/lanes/china-healthcare-and-overseas-innovation-drug-monetization/" TargetMode="External"/><Relationship Id="rId61" Type="http://schemas.openxmlformats.org/officeDocument/2006/relationships/hyperlink" Target="https://vibe-alpha-three.vercel.app/investor/lanes/utilities-grid-rate-base-and-credit/" TargetMode="External"/><Relationship Id="rId62" Type="http://schemas.openxmlformats.org/officeDocument/2006/relationships/hyperlink" Target="https://vibe-alpha-three.vercel.app/investor/reports/archive-047daba6b595/" TargetMode="External"/><Relationship Id="rId63" Type="http://schemas.openxmlformats.org/officeDocument/2006/relationships/hyperlink" Target="https://vibe-alpha-three.vercel.app/investor/reports/archive-8d3e283c741e/" TargetMode="External"/><Relationship Id="rId64" Type="http://schemas.openxmlformats.org/officeDocument/2006/relationships/hyperlink" Target="https://vibe-alpha-three.vercel.app/investor/reports/archive-fcda802a9186/" TargetMode="External"/><Relationship Id="rId65" Type="http://schemas.openxmlformats.org/officeDocument/2006/relationships/hyperlink" Target="https://vibe-alpha-three.vercel.app/investor/reports/archive-968f5311d8f3/" TargetMode="External"/><Relationship Id="rId66" Type="http://schemas.openxmlformats.org/officeDocument/2006/relationships/hyperlink" Target="https://vibe-alpha-three.vercel.app/investor/reports/archive-0fe00dc455bf/" TargetMode="External"/><Relationship Id="rId67" Type="http://schemas.openxmlformats.org/officeDocument/2006/relationships/hyperlink" Target="https://vibe-alpha-three.vercel.app/investor/reports/archive-9f5b5f351d10/" TargetMode="External"/><Relationship Id="rId68" Type="http://schemas.openxmlformats.org/officeDocument/2006/relationships/hyperlink" Target="https://vibe-alpha-three.vercel.app/investor/reports/archive-6739c1be5579/" TargetMode="External"/><Relationship Id="rId69" Type="http://schemas.openxmlformats.org/officeDocument/2006/relationships/hyperlink" Target="https://vibe-alpha-three.vercel.app/investor/reports/archive-4e1e41c071c6/" TargetMode="External"/><Relationship Id="rId70" Type="http://schemas.openxmlformats.org/officeDocument/2006/relationships/hyperlink" Target="https://vibe-alpha-three.vercel.app/investor/reports/archive-4a46f4475284/" TargetMode="External"/><Relationship Id="rId71" Type="http://schemas.openxmlformats.org/officeDocument/2006/relationships/hyperlink" Target="https://vibe-alpha-three.vercel.app/investor/reports/archive-8ede2bff1100/" TargetMode="External"/><Relationship Id="rId72" Type="http://schemas.openxmlformats.org/officeDocument/2006/relationships/hyperlink" Target="https://vibe-alpha-three.vercel.app/investor/reports/archive-84b78d7ceaf8/" TargetMode="External"/><Relationship Id="rId73" Type="http://schemas.openxmlformats.org/officeDocument/2006/relationships/hyperlink" Target="https://vibe-alpha-three.vercel.app/investor/reports/archive-dcfd2869c387/" TargetMode="External"/><Relationship Id="rId74" Type="http://schemas.openxmlformats.org/officeDocument/2006/relationships/hyperlink" Target="https://vibe-alpha-three.vercel.app/investor/reports/archive-191e6aa1408e/" TargetMode="External"/><Relationship Id="rId75" Type="http://schemas.openxmlformats.org/officeDocument/2006/relationships/hyperlink" Target="https://vibe-alpha-three.vercel.app/investor/reports/archive-8846f4008778/" TargetMode="External"/><Relationship Id="rId76" Type="http://schemas.openxmlformats.org/officeDocument/2006/relationships/hyperlink" Target="https://vibe-alpha-three.vercel.app/investor/reports/archive-fc9245e72f9f/" TargetMode="External"/><Relationship Id="rId77" Type="http://schemas.openxmlformats.org/officeDocument/2006/relationships/hyperlink" Target="https://vibe-alpha-three.vercel.app/investor/reports/archive-e3b11ed1d035/" TargetMode="External"/><Relationship Id="rId78" Type="http://schemas.openxmlformats.org/officeDocument/2006/relationships/hyperlink" Target="https://vibe-alpha-three.vercel.app/investor/reports/archive-1166e351e83d/" TargetMode="External"/><Relationship Id="rId79" Type="http://schemas.openxmlformats.org/officeDocument/2006/relationships/hyperlink" Target="https://vibe-alpha-three.vercel.app/investor/reports/archive-7b8fe036653e/" TargetMode="External"/><Relationship Id="rId80" Type="http://schemas.openxmlformats.org/officeDocument/2006/relationships/hyperlink" Target="https://vibe-alpha-three.vercel.app/investor/reports/archive-6f780ad28897/" TargetMode="External"/><Relationship Id="rId81" Type="http://schemas.openxmlformats.org/officeDocument/2006/relationships/hyperlink" Target="https://vibe-alpha-three.vercel.app/investor/reports/archive-db2f6c0b6e1f/" TargetMode="External"/><Relationship Id="rId82" Type="http://schemas.openxmlformats.org/officeDocument/2006/relationships/hyperlink" Target="https://vibe-alpha-three.vercel.app/investor/reports/archive-a0d43f9ca16b/" TargetMode="External"/><Relationship Id="rId83" Type="http://schemas.openxmlformats.org/officeDocument/2006/relationships/hyperlink" Target="https://vibe-alpha-three.vercel.app/investor/reports/archive-13ce131774e4/" TargetMode="External"/><Relationship Id="rId84" Type="http://schemas.openxmlformats.org/officeDocument/2006/relationships/hyperlink" Target="https://vibe-alpha-three.vercel.app/investor/reports/archive-9baa2a2c9110/" TargetMode="External"/><Relationship Id="rId85" Type="http://schemas.openxmlformats.org/officeDocument/2006/relationships/hyperlink" Target="https://vibe-alpha-three.vercel.app/investor/reports/archive-5bcb9fba6a7a/" TargetMode="External"/><Relationship Id="rId86" Type="http://schemas.openxmlformats.org/officeDocument/2006/relationships/hyperlink" Target="https://vibe-alpha-three.vercel.app/investor/reports/archive-8d32db1e66af/" TargetMode="External"/><Relationship Id="rId87" Type="http://schemas.openxmlformats.org/officeDocument/2006/relationships/hyperlink" Target="https://vibe-alpha-three.vercel.app/investor/reports/archive-84055f6c8114/" TargetMode="External"/><Relationship Id="rId88" Type="http://schemas.openxmlformats.org/officeDocument/2006/relationships/hyperlink" Target="https://vibe-alpha-three.vercel.app/investor/reports/archive-731b324da879/" TargetMode="External"/><Relationship Id="rId89" Type="http://schemas.openxmlformats.org/officeDocument/2006/relationships/hyperlink" Target="https://vibe-alpha-three.vercel.app/investor/reports/archive-cb4652757998/" TargetMode="External"/><Relationship Id="rId90" Type="http://schemas.openxmlformats.org/officeDocument/2006/relationships/hyperlink" Target="https://vibe-alpha-three.vercel.app/investor/reports/archive-fa3192089abb/" TargetMode="External"/><Relationship Id="rId91" Type="http://schemas.openxmlformats.org/officeDocument/2006/relationships/hyperlink" Target="https://vibe-alpha-three.vercel.app/investor/reports/archive-a5fef2da9376/" TargetMode="External"/><Relationship Id="rId92" Type="http://schemas.openxmlformats.org/officeDocument/2006/relationships/hyperlink" Target="https://vibe-alpha-three.vercel.app/investor/reports/archive-5381873bd716/" TargetMode="External"/><Relationship Id="rId93" Type="http://schemas.openxmlformats.org/officeDocument/2006/relationships/hyperlink" Target="https://vibe-alpha-three.vercel.app/investor/reports/archive-168563784922/" TargetMode="External"/><Relationship Id="rId94" Type="http://schemas.openxmlformats.org/officeDocument/2006/relationships/hyperlink" Target="https://vibe-alpha-three.vercel.app/investor/reports/archive-50914eba58ab/" TargetMode="External"/><Relationship Id="rId95" Type="http://schemas.openxmlformats.org/officeDocument/2006/relationships/hyperlink" Target="https://vibe-alpha-three.vercel.app/investor/reports/archive-e665f3fa2db4/" TargetMode="External"/><Relationship Id="rId96" Type="http://schemas.openxmlformats.org/officeDocument/2006/relationships/hyperlink" Target="https://vibe-alpha-three.vercel.app/investor/reports/archive-b78220e118b4/" TargetMode="External"/><Relationship Id="rId97" Type="http://schemas.openxmlformats.org/officeDocument/2006/relationships/hyperlink" Target="https://vibe-alpha-three.vercel.app/investor/reports/archive-ce135db15462/" TargetMode="External"/><Relationship Id="rId98" Type="http://schemas.openxmlformats.org/officeDocument/2006/relationships/hyperlink" Target="https://vibe-alpha-three.vercel.app/investor/reports/archive-21be2057e00b/" TargetMode="External"/><Relationship Id="rId99" Type="http://schemas.openxmlformats.org/officeDocument/2006/relationships/hyperlink" Target="https://vibe-alpha-three.vercel.app/investor/reports/reader-daily-reader-2026-07-20/" TargetMode="External"/><Relationship Id="rId100" Type="http://schemas.openxmlformats.org/officeDocument/2006/relationships/hyperlink" Target="https://vibe-alpha-three.vercel.app/investor/reports/archive-d887267486ce/" TargetMode="External"/><Relationship Id="rId101" Type="http://schemas.openxmlformats.org/officeDocument/2006/relationships/hyperlink" Target="https://vibe-alpha-three.vercel.app/investor/reports/archive-923a59926e65/" TargetMode="External"/><Relationship Id="rId102" Type="http://schemas.openxmlformats.org/officeDocument/2006/relationships/hyperlink" Target="https://vibe-alpha-three.vercel.app/investor/reports/archive-b6383df26cc5/" TargetMode="External"/><Relationship Id="rId103" Type="http://schemas.openxmlformats.org/officeDocument/2006/relationships/hyperlink" Target="https://vibe-alpha-three.vercel.app/investor/reports/archive-6c49049029e0/" TargetMode="External"/><Relationship Id="rId104" Type="http://schemas.openxmlformats.org/officeDocument/2006/relationships/hyperlink" Target="https://vibe-alpha-three.vercel.app/investor/reports/archive-07c53ffbd790/" TargetMode="External"/><Relationship Id="rId105" Type="http://schemas.openxmlformats.org/officeDocument/2006/relationships/hyperlink" Target="https://vibe-alpha-three.vercel.app/investor/reports/archive-68787452453e/" TargetMode="External"/><Relationship Id="rId106" Type="http://schemas.openxmlformats.org/officeDocument/2006/relationships/hyperlink" Target="https://vibe-alpha-three.vercel.app/investor/reports/archive-34ccf8b2d93d/" TargetMode="External"/><Relationship Id="rId107" Type="http://schemas.openxmlformats.org/officeDocument/2006/relationships/hyperlink" Target="https://vibe-alpha-three.vercel.app/investor/reports/archive-500b7aac565c/" TargetMode="External"/><Relationship Id="rId108" Type="http://schemas.openxmlformats.org/officeDocument/2006/relationships/hyperlink" Target="https://vibe-alpha-three.vercel.app/investor/reports/archive-4bb9990bd787/" TargetMode="External"/><Relationship Id="rId109" Type="http://schemas.openxmlformats.org/officeDocument/2006/relationships/hyperlink" Target="https://vibe-alpha-three.vercel.app/investor/reports/archive-958b2ef3c7d8/" TargetMode="External"/><Relationship Id="rId110" Type="http://schemas.openxmlformats.org/officeDocument/2006/relationships/hyperlink" Target="https://vibe-alpha-three.vercel.app/investor/reports/archive-db7ca96eae30/" TargetMode="External"/><Relationship Id="rId111" Type="http://schemas.openxmlformats.org/officeDocument/2006/relationships/hyperlink" Target="https://vibe-alpha-three.vercel.app/investor/reports/archive-4a1b96409c4f/" TargetMode="External"/><Relationship Id="rId112" Type="http://schemas.openxmlformats.org/officeDocument/2006/relationships/hyperlink" Target="https://vibe-alpha-three.vercel.app/investor/reports/archive-30c49a4a929a/" TargetMode="External"/><Relationship Id="rId113" Type="http://schemas.openxmlformats.org/officeDocument/2006/relationships/hyperlink" Target="https://vibe-alpha-three.vercel.app/investor/reports/archive-a6acadae8efa/" TargetMode="External"/><Relationship Id="rId114" Type="http://schemas.openxmlformats.org/officeDocument/2006/relationships/hyperlink" Target="https://vibe-alpha-three.vercel.app/investor/reports/archive-8c4cacccf475/" TargetMode="External"/><Relationship Id="rId115" Type="http://schemas.openxmlformats.org/officeDocument/2006/relationships/hyperlink" Target="https://vibe-alpha-three.vercel.app/investor/reports/archive-5075f511e768/" TargetMode="External"/><Relationship Id="rId116" Type="http://schemas.openxmlformats.org/officeDocument/2006/relationships/hyperlink" Target="https://vibe-alpha-three.vercel.app/investor/reports/archive-277083974ca8/" TargetMode="External"/><Relationship Id="rId117" Type="http://schemas.openxmlformats.org/officeDocument/2006/relationships/hyperlink" Target="https://vibe-alpha-three.vercel.app/investor/reports/archive-333fde78057a/" TargetMode="External"/><Relationship Id="rId118" Type="http://schemas.openxmlformats.org/officeDocument/2006/relationships/hyperlink" Target="https://vibe-alpha-three.vercel.app/investor/reports/archive-f55f73d5444b/" TargetMode="External"/><Relationship Id="rId119" Type="http://schemas.openxmlformats.org/officeDocument/2006/relationships/hyperlink" Target="https://vibe-alpha-three.vercel.app/investor/reports/archive-3d24e39c8d7a/" TargetMode="External"/><Relationship Id="rId120" Type="http://schemas.openxmlformats.org/officeDocument/2006/relationships/hyperlink" Target="https://vibe-alpha-three.vercel.app/investor/reports/archive-df9c6c30d0a4/" TargetMode="External"/><Relationship Id="rId121" Type="http://schemas.openxmlformats.org/officeDocument/2006/relationships/hyperlink" Target="https://vibe-alpha-three.vercel.app/investor/reports/archive-9290faac57e3/" TargetMode="External"/><Relationship Id="rId122" Type="http://schemas.openxmlformats.org/officeDocument/2006/relationships/hyperlink" Target="https://vibe-alpha-three.vercel.app/investor/reports/archive-c35b030fd47b/" TargetMode="External"/><Relationship Id="rId123" Type="http://schemas.openxmlformats.org/officeDocument/2006/relationships/hyperlink" Target="https://vibe-alpha-three.vercel.app/investor/reports/archive-f4bebfb59eab/" TargetMode="External"/><Relationship Id="rId124" Type="http://schemas.openxmlformats.org/officeDocument/2006/relationships/hyperlink" Target="https://vibe-alpha-three.vercel.app/investor/reports/archive-5e3b1a3f6a15/" TargetMode="External"/><Relationship Id="rId125" Type="http://schemas.openxmlformats.org/officeDocument/2006/relationships/hyperlink" Target="https://vibe-alpha-three.vercel.app/investor/reports/archive-71604209c2ea/" TargetMode="External"/><Relationship Id="rId126" Type="http://schemas.openxmlformats.org/officeDocument/2006/relationships/hyperlink" Target="https://vibe-alpha-three.vercel.app/investor/reports/archive-2a7996121e05/" TargetMode="External"/><Relationship Id="rId127" Type="http://schemas.openxmlformats.org/officeDocument/2006/relationships/hyperlink" Target="https://vibe-alpha-three.vercel.app/investor/reports/archive-b6aaeb0bd0e4/" TargetMode="External"/><Relationship Id="rId128" Type="http://schemas.openxmlformats.org/officeDocument/2006/relationships/hyperlink" Target="https://vibe-alpha-three.vercel.app/investor/reports/archive-0d08c40fa890/" TargetMode="External"/><Relationship Id="rId129" Type="http://schemas.openxmlformats.org/officeDocument/2006/relationships/hyperlink" Target="https://vibe-alpha-three.vercel.app/investor/reports/archive-05b7844aca5a/" TargetMode="External"/><Relationship Id="rId130" Type="http://schemas.openxmlformats.org/officeDocument/2006/relationships/hyperlink" Target="https://vibe-alpha-three.vercel.app/investor/reports/archive-cd2d644dbc70/" TargetMode="External"/><Relationship Id="rId131" Type="http://schemas.openxmlformats.org/officeDocument/2006/relationships/hyperlink" Target="https://vibe-alpha-three.vercel.app/investor/reports/archive-da916f96346f/" TargetMode="External"/><Relationship Id="rId132" Type="http://schemas.openxmlformats.org/officeDocument/2006/relationships/hyperlink" Target="https://vibe-alpha-three.vercel.app/investor/reports/archive-176b7b32772e/" TargetMode="External"/><Relationship Id="rId133" Type="http://schemas.openxmlformats.org/officeDocument/2006/relationships/hyperlink" Target="https://vibe-alpha-three.vercel.app/investor/reports/archive-fe4c7ce4a201/" TargetMode="External"/><Relationship Id="rId134" Type="http://schemas.openxmlformats.org/officeDocument/2006/relationships/hyperlink" Target="https://vibe-alpha-three.vercel.app/investor/reports/archive-791ba752e5c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2026-W30 AI Institute 周度投资研究全景</dc:title>
  <dc:subject>AI Institute weekly research report 2026-W30</dc:subject>
  <dc:creator>AI Institute</dc:creator>
  <cp:keywords>AI Institute, weekly research, investment research</cp:keywords>
  <dc:description>generated by python-docx</dc:description>
  <cp:lastModifiedBy/>
  <cp:revision>1</cp:revision>
  <dcterms:created xsi:type="dcterms:W3CDTF">2013-12-23T23:15:00Z</dcterms:created>
  <dcterms:modified xsi:type="dcterms:W3CDTF">2013-12-23T23:15:00Z</dcterms:modified>
  <cp:category/>
</cp:coreProperties>
</file>