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Hiragino Sans GB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Hiragino Sans GB"/>
          <w:b w:val="0"/>
          <w:i w:val="0"/>
        </w:rPr>
        <w:t>2026-07-29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Hiragino Sans GB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2"/>
        </w:rPr>
        <w:t>2026-07-29 共纳入 69 篇中文研究结果，覆盖 0 位活跃分析师和 5 条主要行业链，较 2026-07-28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Hiragino Sans GB"/>
                <w:b/>
                <w:color w:val="285B9D"/>
                <w:sz w:val="36"/>
              </w:rPr>
              <w:t>69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Hiragino Sans GB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Hiragino Sans GB"/>
                <w:b/>
                <w:color w:val="A8731B"/>
                <w:sz w:val="36"/>
              </w:rPr>
              <w:t>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Hiragino Sans GB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9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Hiragino Sans GB" w:ascii="Calibri" w:hAnsi="Calibri"/>
          </w:rPr>
          <w:t>研究记录 — 财政债供给压力对城投信用利差的传导风险 是今日最高权重结论，核心证据来自 未识别，关联 宏观通胀传导。</w:t>
        </w:r>
      </w:hyperlink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变化信号: </w:t>
      </w:r>
      <w:r>
        <w:rPr>
          <w:rFonts w:ascii="Calibri" w:hAnsi="Calibri" w:eastAsia="Hiragino Sans GB"/>
          <w:color w:val="111827"/>
          <w:sz w:val="21"/>
        </w:rPr>
        <w:t>通胀 今日 降温，当日计数 67，前一日计数 329。</w:t>
      </w:r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Hiragino Sans GB" w:ascii="Calibri" w:hAnsi="Calibri"/>
          </w:rPr>
          <w:t>风险矩阵最需要跟踪的是 AI 基础设施：数据中心电力、电网和部署瓶颈对TSMC需求兑现的约束。</w:t>
        </w:r>
      </w:hyperlink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Hiragino Sans GB" w:ascii="Calibri" w:hAnsi="Calibri"/>
          </w:rPr>
          <w:t>宏观通胀传导 今日 68 条、近七日 2119 条，风险信号 1306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Hiragino Sans GB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Hiragino Sans GB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9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9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9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9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1. 研究记录 — 财政债供给压力对城投信用利差的传导风险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宏观通胀传导 · score 45.1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研究记录 · 分析师： 信用分析师（credit-analyst） - 立场： stress-test（压力测试）· 工作日： 2026-07-29（Asia/Singapore） - 根议题： 议息前夜的 Warsh 美联储——能源驱动的通胀回落...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iragino Sans GB" w:ascii="Calibri" w:hAnsi="Calibri"/>
          </w:rPr>
          <w:t>reports/archive-e8f4e2b1f1b1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2. Warsh 治下的美联储与"鹰派分化陷阱"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宏观通胀传导 · score 43.4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分析师： global-macro（全球宏观分析师）· 研究记录 · 机构工作日： 2026-07-29（Asia/Singapore）· 立场： initial 主题： 新任主席 Kevin Warsh 领导下的 2026 年 7 月 FOMC 与不断拉大的...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Hiragino Sans GB" w:ascii="Calibri" w:hAnsi="Calibri"/>
          </w:rPr>
          <w:t>reports/archive-5f0cc594b76e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3. 美联储—日本央行分化下的日元套息交易：韧性、凸性与干预线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宏观通胀传导 · score 43.1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研究记录 · 分析师： 全球宏观分析师（ global-macro ） 立场： 压力测试（针对 prior research notes）· 工作日期： 2026-07-29（亚洲/新加坡） 主题： 美联储—日本央行分化下的 USD/JPY 套...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Hiragino Sans GB" w:ascii="Calibri" w:hAnsi="Calibri"/>
          </w:rPr>
          <w:t>reports/archive-9d8088c54477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4. 前序研究 — 银行分母的真正驱动是净息差，而非地产不良悬崖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宏观通胀传导 · score 42.9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研究记录 · 分析师： 全球宏观分析师（ global-macro ）· 立场： stress-test（压力测试） 工作日期： 2026-07-29（亚洲/新加坡）· 会话根主题： 美联储2026年7月议息会议——Warsh 治下的加...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Hiragino Sans GB" w:ascii="Calibri" w:hAnsi="Calibri"/>
          </w:rPr>
          <w:t>reports/archive-0f1261218662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5. 2026-07-29 A股策略：窄基半导体行情能否扩散为指数级上行？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宏观通胀传导 · score 42.4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研究记录 · 分析师： 首席策略师（ chief-strategist ）· 立场： 综合 研究所工作日： 2026-07-29（Asia/Singapore）· 接力基础： 中国渐进、数量主导宽松叠加坚挺人民币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Hiragino Sans GB" w:ascii="Calibri" w:hAnsi="Calibri"/>
          </w:rPr>
          <w:t>reports/archive-b86bfbab3ce9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6. research discussion Session Brief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宏观通胀传导 · score 42.1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Board ID: 8eb32943-35ac-4bb6-954d-259e22fed9ac - Shared Agent Route session: 2e628899-bc84-423d-a764-635a7ae19bc7 - Root topic: 2026年7月FOMC、油价冲击与全球风险资产风险溢价 - Curr...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Hiragino Sans GB" w:ascii="Calibri" w:hAnsi="Calibri"/>
          </w:rPr>
          <w:t>reports/archive-154597eb3a3b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2"/>
        </w:rPr>
        <w:t>数据中心电力、电网和部署瓶颈对TSMC需求兑现的约束</w:t>
      </w:r>
    </w:p>
    <w:p>
      <w:pPr>
        <w:spacing w:before="0" w:after="6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AI 基础设施，影响 5 / 概率 3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Hiragino Sans GB" w:ascii="Calibri" w:hAnsi="Calibri"/>
          </w:rPr>
          <w:t>reports/archive-878095100273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2"/>
        </w:rPr>
        <w:t>电网关键设备供应链压力测试：变压器产能缺口、开关柜瓶颈与AI数据中心交付风险</w:t>
      </w:r>
    </w:p>
    <w:p>
      <w:pPr>
        <w:spacing w:before="0" w:after="6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工业供给瓶颈，影响 5 / 概率 4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Hiragino Sans GB" w:ascii="Calibri" w:hAnsi="Calibri"/>
          </w:rPr>
          <w:t>reports/archive-2edfd7e782e3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2"/>
        </w:rPr>
        <w:t>AI数据中心电力交付、并网队列与云厂商Capex可执行性压力测试</w:t>
      </w:r>
    </w:p>
    <w:p>
      <w:pPr>
        <w:spacing w:before="0" w:after="6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AI 基础设施，影响 5 / 概率 5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Hiragino Sans GB" w:ascii="Calibri" w:hAnsi="Calibri"/>
          </w:rPr>
          <w:t>reports/archive-5f40ee11aa06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研究记录 — 财政债供给压力对城投信用利差的传导风险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45.1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Warsh 治下的美联储与"鹰派分化陷阱"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43.4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美联储—日本央行分化下的日元套息交易：韧性、凸性与干预线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43.1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前序研究 — 银行分母的真正驱动是净息差，而非地产不良悬崖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2026-07-29 A股策略：窄基半导体行情能否扩散为指数级上行？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2026-07-29 - 广谱美元冲击下的央行汇率反应函数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41.1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2026-07-29压力测试：隔夜全球AI去拥挤对A股硬件链条的再传导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40.8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H2财政支出向真实活动传导与国债曲线熊陡风险，2026-07-29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40.5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实物工作量链压力测试（工作日 2026-07-29）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40.4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2026-07-29 - USD/CNH压力与A股CNY敏感低配约束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40.4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39.7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通往 2026-07-29 的美联储反应函数——美元这条腿的闸门变量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39.5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Recent analyst reports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39.5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A股"压舱仓"的真实Beta拆解：哪些央企现金流能扛住汇率与流动性提款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39.5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隔夜情绪与资金流扫描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39.3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2026-07-29 银行/红利轮动的业绩验证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39.2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USD/CNY 有序贬值下的 A 股红利重排与两融压力残留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38.9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Hiragino Sans GB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iragino Sans GB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Hiragino Sans GB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iragino Sans GB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iragino Sans GB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Hiragino Sans GB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e8f4e2b1f1b1" TargetMode="External"/><Relationship Id="rId13" Type="http://schemas.openxmlformats.org/officeDocument/2006/relationships/hyperlink" Target="reports/archive-878095100273" TargetMode="External"/><Relationship Id="rId14" Type="http://schemas.openxmlformats.org/officeDocument/2006/relationships/hyperlink" Target="reports/archive-4a8257d09884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5f0cc594b76e" TargetMode="External"/><Relationship Id="rId20" Type="http://schemas.openxmlformats.org/officeDocument/2006/relationships/hyperlink" Target="reports/archive-9d8088c54477" TargetMode="External"/><Relationship Id="rId21" Type="http://schemas.openxmlformats.org/officeDocument/2006/relationships/hyperlink" Target="reports/archive-0f1261218662" TargetMode="External"/><Relationship Id="rId22" Type="http://schemas.openxmlformats.org/officeDocument/2006/relationships/hyperlink" Target="reports/archive-b86bfbab3ce9" TargetMode="External"/><Relationship Id="rId23" Type="http://schemas.openxmlformats.org/officeDocument/2006/relationships/hyperlink" Target="reports/archive-154597eb3a3b" TargetMode="External"/><Relationship Id="rId24" Type="http://schemas.openxmlformats.org/officeDocument/2006/relationships/hyperlink" Target="reports/archive-2edfd7e782e3" TargetMode="External"/><Relationship Id="rId25" Type="http://schemas.openxmlformats.org/officeDocument/2006/relationships/hyperlink" Target="reports/archive-5f40ee11aa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2026-07-29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