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4" w:lineRule="auto"/>
      </w:pPr>
      <w:r>
        <w:rPr>
          <w:rFonts w:ascii="Calibri" w:hAnsi="Calibri" w:eastAsia="Songti SC"/>
          <w:b/>
          <w:i w:val="0"/>
          <w:color w:val="285B9D"/>
          <w:sz w:val="20"/>
        </w:rPr>
        <w:t>AI Institute</w:t>
      </w:r>
    </w:p>
    <w:p>
      <w:pPr>
        <w:pStyle w:val="Title"/>
        <w:spacing w:before="0" w:after="80" w:line="264" w:lineRule="auto"/>
      </w:pPr>
      <w:r>
        <w:rPr>
          <w:rFonts w:ascii="Calibri" w:hAnsi="Calibri" w:eastAsia="Songti SC"/>
          <w:b w:val="0"/>
          <w:i w:val="0"/>
        </w:rPr>
        <w:t>每日投资研究简报</w:t>
      </w:r>
    </w:p>
    <w:p>
      <w:pPr>
        <w:pStyle w:val="Subtitle"/>
        <w:spacing w:before="0" w:after="240" w:line="264" w:lineRule="auto"/>
      </w:pPr>
      <w:r>
        <w:rPr>
          <w:rFonts w:ascii="Calibri" w:hAnsi="Calibri" w:eastAsia="Songti SC"/>
          <w:b w:val="0"/>
          <w:i w:val="0"/>
        </w:rPr>
        <w:t>2026-06-01 · webpage screenshot DOCX edition</w:t>
      </w:r>
    </w:p>
    <w:p>
      <w:pPr>
        <w:spacing w:before="0" w:after="160" w:line="264" w:lineRule="auto"/>
      </w:pPr>
      <w:r>
        <w:rPr>
          <w:rFonts w:ascii="Calibri" w:hAnsi="Calibri" w:eastAsia="Songti SC"/>
          <w:b/>
          <w:i w:val="0"/>
          <w:color w:val="0B2545"/>
          <w:sz w:val="34"/>
        </w:rPr>
        <w:t>AI 基础设施仍是今日主线，宏观通胀传导提供第二层验证。</w:t>
      </w:r>
    </w:p>
    <w:p>
      <w:pPr>
        <w:spacing w:before="0" w:after="240" w:line="264" w:lineRule="auto"/>
      </w:pPr>
      <w:r>
        <w:rPr>
          <w:rFonts w:ascii="Calibri" w:hAnsi="Calibri" w:eastAsia="Songti SC"/>
          <w:b w:val="0"/>
          <w:i w:val="0"/>
          <w:color w:val="334155"/>
          <w:sz w:val="22"/>
        </w:rPr>
        <w:t>2026-06-01 共纳入 226 篇中文研究结果，覆盖 23 位活跃分析师和 6 条主要行业链，较 2026-05-31 的主题变化可在右侧动量表中核对。简报优先呈现可被报告链接追溯的结论，而不是孤立摘要。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shd w:fill="F8FAFC"/>
          </w:tcPr>
          <w:p>
            <w:pPr>
              <w:spacing w:after="40"/>
            </w:pPr>
            <w:r>
              <w:rPr>
                <w:rFonts w:ascii="Calibri" w:hAnsi="Calibri" w:eastAsia="Songti SC"/>
                <w:b/>
                <w:color w:val="667085"/>
                <w:sz w:val="17"/>
              </w:rPr>
              <w:t>今日报告</w:t>
              <w:br/>
            </w:r>
            <w:r>
              <w:rPr>
                <w:rFonts w:ascii="Calibri" w:hAnsi="Calibri" w:eastAsia="Songti SC"/>
                <w:b/>
                <w:color w:val="285B9D"/>
                <w:sz w:val="36"/>
              </w:rPr>
              <w:t>226</w:t>
            </w:r>
          </w:p>
        </w:tc>
        <w:tc>
          <w:tcPr>
            <w:tcW w:type="dxa" w:w="2340"/>
            <w:vAlign w:val="center"/>
            <w:shd w:fill="F8FAFC"/>
          </w:tcPr>
          <w:p>
            <w:pPr>
              <w:spacing w:after="40"/>
            </w:pPr>
            <w:r>
              <w:rPr>
                <w:rFonts w:ascii="Calibri" w:hAnsi="Calibri" w:eastAsia="Songti SC"/>
                <w:b/>
                <w:color w:val="667085"/>
                <w:sz w:val="17"/>
              </w:rPr>
              <w:t>活跃分析师</w:t>
              <w:br/>
            </w:r>
            <w:r>
              <w:rPr>
                <w:rFonts w:ascii="Calibri" w:hAnsi="Calibri" w:eastAsia="Songti SC"/>
                <w:b/>
                <w:color w:val="237A5B"/>
                <w:sz w:val="36"/>
              </w:rPr>
              <w:t>23</w:t>
            </w:r>
          </w:p>
        </w:tc>
        <w:tc>
          <w:tcPr>
            <w:tcW w:type="dxa" w:w="2340"/>
            <w:vAlign w:val="center"/>
            <w:shd w:fill="F8FAFC"/>
          </w:tcPr>
          <w:p>
            <w:pPr>
              <w:spacing w:after="40"/>
            </w:pPr>
            <w:r>
              <w:rPr>
                <w:rFonts w:ascii="Calibri" w:hAnsi="Calibri" w:eastAsia="Songti SC"/>
                <w:b/>
                <w:color w:val="667085"/>
                <w:sz w:val="17"/>
              </w:rPr>
              <w:t>活跃链条</w:t>
              <w:br/>
            </w:r>
            <w:r>
              <w:rPr>
                <w:rFonts w:ascii="Calibri" w:hAnsi="Calibri" w:eastAsia="Songti SC"/>
                <w:b/>
                <w:color w:val="A8731B"/>
                <w:sz w:val="36"/>
              </w:rPr>
              <w:t>6</w:t>
            </w:r>
          </w:p>
        </w:tc>
        <w:tc>
          <w:tcPr>
            <w:tcW w:type="dxa" w:w="2340"/>
            <w:vAlign w:val="center"/>
            <w:shd w:fill="F8FAFC"/>
          </w:tcPr>
          <w:p>
            <w:pPr>
              <w:spacing w:after="40"/>
            </w:pPr>
            <w:r>
              <w:rPr>
                <w:rFonts w:ascii="Calibri" w:hAnsi="Calibri" w:eastAsia="Songti SC"/>
                <w:b/>
                <w:color w:val="667085"/>
                <w:sz w:val="17"/>
              </w:rPr>
              <w:t>风险信号</w:t>
              <w:br/>
            </w:r>
            <w:r>
              <w:rPr>
                <w:rFonts w:ascii="Calibri" w:hAnsi="Calibri" w:eastAsia="Songti SC"/>
                <w:b/>
                <w:color w:val="B43D49"/>
                <w:sz w:val="36"/>
              </w:rPr>
              <w:t>16</w:t>
            </w:r>
          </w:p>
        </w:tc>
      </w:tr>
    </w:tbl>
    <w:p>
      <w:pPr>
        <w:spacing w:before="0" w:after="160" w:line="264" w:lineRule="auto"/>
      </w:pPr>
    </w:p>
    <w:p>
      <w:pPr>
        <w:spacing w:before="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8709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brief-2026-06-01-web-summa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7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00" w:line="264" w:lineRule="auto"/>
        <w:jc w:val="center"/>
      </w:pPr>
      <w:r>
        <w:rPr>
          <w:rFonts w:ascii="Calibri" w:hAnsi="Calibri" w:eastAsia="Songti SC"/>
          <w:b w:val="0"/>
          <w:i/>
          <w:color w:val="667085"/>
          <w:sz w:val="17"/>
        </w:rPr>
        <w:t>Figure 1. Webpage snapshot of the daily synthesis and key operating metrics.</w:t>
      </w:r>
    </w:p>
    <w:p>
      <w:pPr>
        <w:pStyle w:val="Heading1"/>
      </w:pPr>
      <w:r>
        <w:t>1. 综合研判</w:t>
      </w:r>
    </w:p>
    <w:p>
      <w:pPr>
        <w:spacing w:after="140"/>
        <w:ind w:left="259" w:hanging="259"/>
      </w:pPr>
      <w:r>
        <w:rPr>
          <w:rFonts w:ascii="Calibri" w:hAnsi="Calibri" w:eastAsia="Songti SC"/>
          <w:b/>
          <w:color w:val="285B9D"/>
          <w:sz w:val="21"/>
        </w:rPr>
        <w:t xml:space="preserve">主线判断: </w:t>
      </w:r>
      <w:hyperlink r:id="rId12">
        <w:r>
          <w:rPr>
            <w:color w:val="285B9D"/>
            <w:u w:val="single"/>
            <w:rFonts w:eastAsia="Songti SC" w:ascii="Calibri" w:hAnsi="Calibri"/>
          </w:rPr>
          <w:t>研究报告：AI电网中游环节（GOES/变压器）的工业政策与地缘政治风险分析 是今日最高权重结论，核心证据来自 未识别，关联 工业供给瓶颈。</w:t>
        </w:r>
      </w:hyperlink>
    </w:p>
    <w:p>
      <w:pPr>
        <w:spacing w:after="140"/>
        <w:ind w:left="259" w:hanging="259"/>
      </w:pPr>
      <w:r>
        <w:rPr>
          <w:rFonts w:ascii="Calibri" w:hAnsi="Calibri" w:eastAsia="Songti SC"/>
          <w:b/>
          <w:color w:val="285B9D"/>
          <w:sz w:val="21"/>
        </w:rPr>
        <w:t xml:space="preserve">变化信号: </w:t>
      </w:r>
      <w:r>
        <w:rPr>
          <w:rFonts w:ascii="Calibri" w:hAnsi="Calibri" w:eastAsia="Songti SC"/>
          <w:color w:val="111827"/>
          <w:sz w:val="21"/>
        </w:rPr>
        <w:t>通胀 今日 升温，当日计数 206，前一日计数 181。</w:t>
      </w:r>
    </w:p>
    <w:p>
      <w:pPr>
        <w:spacing w:after="140"/>
        <w:ind w:left="259" w:hanging="259"/>
      </w:pPr>
      <w:r>
        <w:rPr>
          <w:rFonts w:ascii="Calibri" w:hAnsi="Calibri" w:eastAsia="Songti SC"/>
          <w:b/>
          <w:color w:val="285B9D"/>
          <w:sz w:val="21"/>
        </w:rPr>
        <w:t xml:space="preserve">风险焦点: </w:t>
      </w:r>
      <w:hyperlink r:id="rId13">
        <w:r>
          <w:rPr>
            <w:color w:val="285B9D"/>
            <w:u w:val="single"/>
            <w:rFonts w:eastAsia="Songti SC" w:ascii="Calibri" w:hAnsi="Calibri"/>
          </w:rPr>
          <w:t>风险矩阵最需要跟踪的是 电力与电网：算力瓶颈压力测试：电网传输与并网队列的真实时滞。</w:t>
        </w:r>
      </w:hyperlink>
    </w:p>
    <w:p>
      <w:pPr>
        <w:spacing w:after="140"/>
        <w:ind w:left="259" w:hanging="259"/>
      </w:pPr>
      <w:r>
        <w:rPr>
          <w:rFonts w:ascii="Calibri" w:hAnsi="Calibri" w:eastAsia="Songti SC"/>
          <w:b/>
          <w:color w:val="285B9D"/>
          <w:sz w:val="21"/>
        </w:rPr>
        <w:t xml:space="preserve">证据密度: </w:t>
      </w:r>
      <w:hyperlink r:id="rId14">
        <w:r>
          <w:rPr>
            <w:color w:val="285B9D"/>
            <w:u w:val="single"/>
            <w:rFonts w:eastAsia="Songti SC" w:ascii="Calibri" w:hAnsi="Calibri"/>
          </w:rPr>
          <w:t>AI 基础设施 今日 188 条、近七日 1496 条，风险信号 1013 条。</w:t>
        </w:r>
      </w:hyperlink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shd w:fill="FFF7E6"/>
          </w:tcPr>
          <w:p>
            <w:r>
              <w:rPr>
                <w:rFonts w:ascii="Calibri" w:hAnsi="Calibri" w:eastAsia="Songti SC"/>
                <w:b/>
                <w:color w:val="7A5A00"/>
                <w:sz w:val="21"/>
              </w:rPr>
              <w:t xml:space="preserve">投资解读: </w:t>
            </w:r>
            <w:r>
              <w:rPr>
                <w:rFonts w:ascii="Calibri" w:hAnsi="Calibri" w:eastAsia="Songti SC"/>
                <w:color w:val="7C2D12"/>
                <w:sz w:val="21"/>
              </w:rPr>
              <w:t>投资含义上，本日简报更适合作为主题和风险筛选器：先看行业链雷达确认资金关注方向，再用风险矩阵排除证据不足或约束过强的交易表达。</w:t>
            </w:r>
          </w:p>
        </w:tc>
      </w:tr>
    </w:tbl>
    <w:p>
      <w:pPr>
        <w:spacing w:before="0" w:after="120" w:line="264" w:lineRule="auto"/>
      </w:pPr>
    </w:p>
    <w:p>
      <w:pPr>
        <w:pStyle w:val="Heading1"/>
      </w:pPr>
      <w:r>
        <w:t>2. 可视化仪表板</w:t>
      </w:r>
    </w:p>
    <w:p>
      <w:pPr>
        <w:spacing w:before="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8709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brief-2026-06-01-web-tren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7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00" w:line="264" w:lineRule="auto"/>
        <w:jc w:val="center"/>
      </w:pPr>
      <w:r>
        <w:rPr>
          <w:rFonts w:ascii="Calibri" w:hAnsi="Calibri" w:eastAsia="Songti SC"/>
          <w:b w:val="0"/>
          <w:i/>
          <w:color w:val="667085"/>
          <w:sz w:val="17"/>
        </w:rPr>
        <w:t>Figure 2. Webpage snapshot of topic momentum and daily change signals.</w:t>
      </w:r>
    </w:p>
    <w:p>
      <w:pPr>
        <w:spacing w:before="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8709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brief-2026-06-01-web-chai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7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00" w:line="264" w:lineRule="auto"/>
        <w:jc w:val="center"/>
      </w:pPr>
      <w:r>
        <w:rPr>
          <w:rFonts w:ascii="Calibri" w:hAnsi="Calibri" w:eastAsia="Songti SC"/>
          <w:b w:val="0"/>
          <w:i/>
          <w:color w:val="667085"/>
          <w:sz w:val="17"/>
        </w:rPr>
        <w:t>Figure 3. Webpage snapshot of industry-chain heat and evidence links.</w:t>
      </w:r>
    </w:p>
    <w:p>
      <w:r>
        <w:br w:type="page"/>
      </w:r>
    </w:p>
    <w:p>
      <w:pPr>
        <w:spacing w:before="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8709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brief-2026-06-01-web-risk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7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00" w:line="264" w:lineRule="auto"/>
        <w:jc w:val="center"/>
      </w:pPr>
      <w:r>
        <w:rPr>
          <w:rFonts w:ascii="Calibri" w:hAnsi="Calibri" w:eastAsia="Songti SC"/>
          <w:b w:val="0"/>
          <w:i/>
          <w:color w:val="667085"/>
          <w:sz w:val="17"/>
        </w:rPr>
        <w:t>Figure 4. Webpage snapshot of the risk matrix and pressure-test items.</w:t>
      </w:r>
    </w:p>
    <w:p>
      <w:r>
        <w:br w:type="page"/>
      </w:r>
    </w:p>
    <w:p>
      <w:pPr>
        <w:spacing w:before="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8709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brief-2026-06-01-web-heatma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7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00" w:line="264" w:lineRule="auto"/>
        <w:jc w:val="center"/>
      </w:pPr>
      <w:r>
        <w:rPr>
          <w:rFonts w:ascii="Calibri" w:hAnsi="Calibri" w:eastAsia="Songti SC"/>
          <w:b w:val="0"/>
          <w:i/>
          <w:color w:val="667085"/>
          <w:sz w:val="17"/>
        </w:rPr>
        <w:t>Figure 5. Webpage snapshot of analyst activity and ranked conclusions.</w:t>
      </w:r>
    </w:p>
    <w:p>
      <w:pPr>
        <w:pStyle w:val="Heading1"/>
      </w:pPr>
      <w:r>
        <w:t>3. 今日核心结论</w:t>
      </w:r>
    </w:p>
    <w:p>
      <w:pPr>
        <w:spacing w:before="0" w:after="40" w:line="264" w:lineRule="auto"/>
      </w:pPr>
      <w:r>
        <w:rPr>
          <w:rFonts w:ascii="Calibri" w:hAnsi="Calibri" w:eastAsia="Songti SC"/>
          <w:b/>
          <w:i w:val="0"/>
          <w:color w:val="0B2545"/>
          <w:sz w:val="23"/>
        </w:rPr>
        <w:t>1. 研究报告：AI电网中游环节（GOES/变压器）的工业政策与地缘政治风险分析</w:t>
      </w:r>
    </w:p>
    <w:p>
      <w:pPr>
        <w:spacing w:before="0" w:after="40" w:line="264" w:lineRule="auto"/>
      </w:pPr>
      <w:r>
        <w:rPr>
          <w:rFonts w:ascii="Calibri" w:hAnsi="Calibri" w:eastAsia="Songti SC"/>
          <w:b w:val="0"/>
          <w:i w:val="0"/>
          <w:color w:val="667085"/>
          <w:sz w:val="17"/>
        </w:rPr>
        <w:t>未识别 · 工业供给瓶颈 · score 53.2</w:t>
      </w:r>
    </w:p>
    <w:p>
      <w:pPr>
        <w:spacing w:before="0" w:after="100" w:line="264" w:lineRule="auto"/>
      </w:pPr>
      <w:r>
        <w:rPr>
          <w:rFonts w:ascii="Calibri" w:hAnsi="Calibri" w:eastAsia="Songti SC"/>
          <w:b w:val="0"/>
          <w:i w:val="0"/>
          <w:color w:val="334155"/>
          <w:sz w:val="20"/>
        </w:rPr>
        <w:t>研究报告：AI电网中游环节（GOES/变压器）的工业政策与地缘政治风险分析 日期： 2026-06-01 分析师： 政策分析师 (agy) 状态： 压力测试 / 研究发现</w:t>
      </w:r>
    </w:p>
    <w:p>
      <w:pPr>
        <w:spacing w:before="0" w:after="160" w:line="264" w:lineRule="auto"/>
      </w:pPr>
      <w:r>
        <w:rPr>
          <w:rFonts w:ascii="Calibri" w:hAnsi="Calibri" w:eastAsia="Songti SC"/>
          <w:b w:val="0"/>
          <w:i w:val="0"/>
          <w:color w:val="667085"/>
          <w:sz w:val="17"/>
        </w:rPr>
        <w:t xml:space="preserve">Report: </w:t>
      </w:r>
      <w:hyperlink r:id="rId12">
        <w:r>
          <w:rPr>
            <w:color w:val="285B9D"/>
            <w:u w:val="single"/>
            <w:rFonts w:eastAsia="Songti SC" w:ascii="Calibri" w:hAnsi="Calibri"/>
          </w:rPr>
          <w:t>reports/archive-b5b0ba20bad0</w:t>
        </w:r>
      </w:hyperlink>
    </w:p>
    <w:p>
      <w:pPr>
        <w:spacing w:before="0" w:after="40" w:line="264" w:lineRule="auto"/>
      </w:pPr>
      <w:r>
        <w:rPr>
          <w:rFonts w:ascii="Calibri" w:hAnsi="Calibri" w:eastAsia="Songti SC"/>
          <w:b/>
          <w:i w:val="0"/>
          <w:color w:val="0B2545"/>
          <w:sz w:val="23"/>
        </w:rPr>
        <w:t>2. 核心观点</w:t>
      </w:r>
    </w:p>
    <w:p>
      <w:pPr>
        <w:spacing w:before="0" w:after="40" w:line="264" w:lineRule="auto"/>
      </w:pPr>
      <w:r>
        <w:rPr>
          <w:rFonts w:ascii="Calibri" w:hAnsi="Calibri" w:eastAsia="Songti SC"/>
          <w:b w:val="0"/>
          <w:i w:val="0"/>
          <w:color w:val="667085"/>
          <w:sz w:val="17"/>
        </w:rPr>
        <w:t>未识别 · AI 基础设施 · score 51.0</w:t>
      </w:r>
    </w:p>
    <w:p>
      <w:pPr>
        <w:spacing w:before="0" w:after="100" w:line="264" w:lineRule="auto"/>
      </w:pPr>
      <w:r>
        <w:rPr>
          <w:rFonts w:ascii="Calibri" w:hAnsi="Calibri" w:eastAsia="Songti SC"/>
          <w:b w:val="0"/>
          <w:i w:val="0"/>
          <w:color w:val="334155"/>
          <w:sz w:val="20"/>
        </w:rPr>
        <w:t>title: "算力高密化与电网瓶颈下的配电设备及温控资本开支压测" date: "2026-06-01" author: "工业制造分析师" stance: "support"</w:t>
      </w:r>
    </w:p>
    <w:p>
      <w:pPr>
        <w:spacing w:before="0" w:after="160" w:line="264" w:lineRule="auto"/>
      </w:pPr>
      <w:r>
        <w:rPr>
          <w:rFonts w:ascii="Calibri" w:hAnsi="Calibri" w:eastAsia="Songti SC"/>
          <w:b w:val="0"/>
          <w:i w:val="0"/>
          <w:color w:val="667085"/>
          <w:sz w:val="17"/>
        </w:rPr>
        <w:t xml:space="preserve">Report: </w:t>
      </w:r>
      <w:hyperlink r:id="rId19">
        <w:r>
          <w:rPr>
            <w:color w:val="285B9D"/>
            <w:u w:val="single"/>
            <w:rFonts w:eastAsia="Songti SC" w:ascii="Calibri" w:hAnsi="Calibri"/>
          </w:rPr>
          <w:t>reports/archive-0939f0b7cabf</w:t>
        </w:r>
      </w:hyperlink>
    </w:p>
    <w:p>
      <w:pPr>
        <w:spacing w:before="0" w:after="40" w:line="264" w:lineRule="auto"/>
      </w:pPr>
      <w:r>
        <w:rPr>
          <w:rFonts w:ascii="Calibri" w:hAnsi="Calibri" w:eastAsia="Songti SC"/>
          <w:b/>
          <w:i w:val="0"/>
          <w:color w:val="0B2545"/>
          <w:sz w:val="23"/>
        </w:rPr>
        <w:t>3. "算电协同"下电力与电网设备：CAPEX 脉冲与周期定位</w:t>
      </w:r>
    </w:p>
    <w:p>
      <w:pPr>
        <w:spacing w:before="0" w:after="40" w:line="264" w:lineRule="auto"/>
      </w:pPr>
      <w:r>
        <w:rPr>
          <w:rFonts w:ascii="Calibri" w:hAnsi="Calibri" w:eastAsia="Songti SC"/>
          <w:b w:val="0"/>
          <w:i w:val="0"/>
          <w:color w:val="667085"/>
          <w:sz w:val="17"/>
        </w:rPr>
        <w:t>未识别 · AI 基础设施 · score 50.6</w:t>
      </w:r>
    </w:p>
    <w:p>
      <w:pPr>
        <w:spacing w:before="0" w:after="100" w:line="264" w:lineRule="auto"/>
      </w:pPr>
      <w:r>
        <w:rPr>
          <w:rFonts w:ascii="Calibri" w:hAnsi="Calibri" w:eastAsia="Songti SC"/>
          <w:b w:val="0"/>
          <w:i w:val="0"/>
          <w:color w:val="334155"/>
          <w:sz w:val="20"/>
        </w:rPr>
        <w:t>日期： 2026-06-01（亚洲/新加坡） - 分析师： 公用事业分析师（utilities-analyst） - 立场： 支持（延伸 prior research notes/ prior research notes） - 问题： 电网升级需求如何重塑公用事...</w:t>
      </w:r>
    </w:p>
    <w:p>
      <w:pPr>
        <w:spacing w:before="0" w:after="160" w:line="264" w:lineRule="auto"/>
      </w:pPr>
      <w:r>
        <w:rPr>
          <w:rFonts w:ascii="Calibri" w:hAnsi="Calibri" w:eastAsia="Songti SC"/>
          <w:b w:val="0"/>
          <w:i w:val="0"/>
          <w:color w:val="667085"/>
          <w:sz w:val="17"/>
        </w:rPr>
        <w:t xml:space="preserve">Report: </w:t>
      </w:r>
      <w:hyperlink r:id="rId20">
        <w:r>
          <w:rPr>
            <w:color w:val="285B9D"/>
            <w:u w:val="single"/>
            <w:rFonts w:eastAsia="Songti SC" w:ascii="Calibri" w:hAnsi="Calibri"/>
          </w:rPr>
          <w:t>reports/archive-06778d37ded7</w:t>
        </w:r>
      </w:hyperlink>
    </w:p>
    <w:p>
      <w:pPr>
        <w:spacing w:before="0" w:after="40" w:line="264" w:lineRule="auto"/>
      </w:pPr>
      <w:r>
        <w:rPr>
          <w:rFonts w:ascii="Calibri" w:hAnsi="Calibri" w:eastAsia="Songti SC"/>
          <w:b/>
          <w:i w:val="0"/>
          <w:color w:val="0B2545"/>
          <w:sz w:val="23"/>
        </w:rPr>
        <w:t>4. 算力国产化闭环中的能源约束：电力供应与电网调峰压力分析</w:t>
      </w:r>
    </w:p>
    <w:p>
      <w:pPr>
        <w:spacing w:before="0" w:after="40" w:line="264" w:lineRule="auto"/>
      </w:pPr>
      <w:r>
        <w:rPr>
          <w:rFonts w:ascii="Calibri" w:hAnsi="Calibri" w:eastAsia="Songti SC"/>
          <w:b w:val="0"/>
          <w:i w:val="0"/>
          <w:color w:val="667085"/>
          <w:sz w:val="17"/>
        </w:rPr>
        <w:t>未识别 · AI 基础设施 · score 49.6</w:t>
      </w:r>
    </w:p>
    <w:p>
      <w:pPr>
        <w:spacing w:before="0" w:after="100" w:line="264" w:lineRule="auto"/>
      </w:pPr>
      <w:r>
        <w:rPr>
          <w:rFonts w:ascii="Calibri" w:hAnsi="Calibri" w:eastAsia="Songti SC"/>
          <w:b w:val="0"/>
          <w:i w:val="0"/>
          <w:color w:val="334155"/>
          <w:sz w:val="20"/>
        </w:rPr>
        <w:t>工作日期: 2026-06-01 分析师: energy-analyst 当前立场: 压力测试 (stress-test)</w:t>
      </w:r>
    </w:p>
    <w:p>
      <w:pPr>
        <w:spacing w:before="0" w:after="160" w:line="264" w:lineRule="auto"/>
      </w:pPr>
      <w:r>
        <w:rPr>
          <w:rFonts w:ascii="Calibri" w:hAnsi="Calibri" w:eastAsia="Songti SC"/>
          <w:b w:val="0"/>
          <w:i w:val="0"/>
          <w:color w:val="667085"/>
          <w:sz w:val="17"/>
        </w:rPr>
        <w:t xml:space="preserve">Report: </w:t>
      </w:r>
      <w:hyperlink r:id="rId21">
        <w:r>
          <w:rPr>
            <w:color w:val="285B9D"/>
            <w:u w:val="single"/>
            <w:rFonts w:eastAsia="Songti SC" w:ascii="Calibri" w:hAnsi="Calibri"/>
          </w:rPr>
          <w:t>reports/archive-90363200b5cb</w:t>
        </w:r>
      </w:hyperlink>
    </w:p>
    <w:p>
      <w:pPr>
        <w:spacing w:before="0" w:after="40" w:line="264" w:lineRule="auto"/>
      </w:pPr>
      <w:r>
        <w:rPr>
          <w:rFonts w:ascii="Calibri" w:hAnsi="Calibri" w:eastAsia="Songti SC"/>
          <w:b/>
          <w:i w:val="0"/>
          <w:color w:val="0B2545"/>
          <w:sz w:val="23"/>
        </w:rPr>
        <w:t>5. AI 数据中心电力成本：对西部绿电迁移叙事的压力测试及对算力贝塔毛利率的侵蚀</w:t>
      </w:r>
    </w:p>
    <w:p>
      <w:pPr>
        <w:spacing w:before="0" w:after="40" w:line="264" w:lineRule="auto"/>
      </w:pPr>
      <w:r>
        <w:rPr>
          <w:rFonts w:ascii="Calibri" w:hAnsi="Calibri" w:eastAsia="Songti SC"/>
          <w:b w:val="0"/>
          <w:i w:val="0"/>
          <w:color w:val="667085"/>
          <w:sz w:val="17"/>
        </w:rPr>
        <w:t>未识别 · AI 基础设施 · score 49.2</w:t>
      </w:r>
    </w:p>
    <w:p>
      <w:pPr>
        <w:spacing w:before="0" w:after="100" w:line="264" w:lineRule="auto"/>
      </w:pPr>
      <w:r>
        <w:rPr>
          <w:rFonts w:ascii="Calibri" w:hAnsi="Calibri" w:eastAsia="Songti SC"/>
          <w:b w:val="0"/>
          <w:i w:val="0"/>
          <w:color w:val="334155"/>
          <w:sz w:val="20"/>
        </w:rPr>
        <w:t>AI 数据中心电力成本：对西部绿电迁移叙事的压力测试及对算力贝塔毛利率的侵蚀</w:t>
      </w:r>
    </w:p>
    <w:p>
      <w:pPr>
        <w:spacing w:before="0" w:after="160" w:line="264" w:lineRule="auto"/>
      </w:pPr>
      <w:r>
        <w:rPr>
          <w:rFonts w:ascii="Calibri" w:hAnsi="Calibri" w:eastAsia="Songti SC"/>
          <w:b w:val="0"/>
          <w:i w:val="0"/>
          <w:color w:val="667085"/>
          <w:sz w:val="17"/>
        </w:rPr>
        <w:t xml:space="preserve">Report: </w:t>
      </w:r>
      <w:hyperlink r:id="rId22">
        <w:r>
          <w:rPr>
            <w:color w:val="285B9D"/>
            <w:u w:val="single"/>
            <w:rFonts w:eastAsia="Songti SC" w:ascii="Calibri" w:hAnsi="Calibri"/>
          </w:rPr>
          <w:t>reports/archive-b8ed0ee6dae7</w:t>
        </w:r>
      </w:hyperlink>
    </w:p>
    <w:p>
      <w:pPr>
        <w:spacing w:before="0" w:after="40" w:line="264" w:lineRule="auto"/>
      </w:pPr>
      <w:r>
        <w:rPr>
          <w:rFonts w:ascii="Calibri" w:hAnsi="Calibri" w:eastAsia="Songti SC"/>
          <w:b/>
          <w:i w:val="0"/>
          <w:color w:val="0B2545"/>
          <w:sz w:val="23"/>
        </w:rPr>
        <w:t>6. 2026-06-01 风险报告：AI电网设备脱钩与TMT估值压力测试</w:t>
      </w:r>
    </w:p>
    <w:p>
      <w:pPr>
        <w:spacing w:before="0" w:after="40" w:line="264" w:lineRule="auto"/>
      </w:pPr>
      <w:r>
        <w:rPr>
          <w:rFonts w:ascii="Calibri" w:hAnsi="Calibri" w:eastAsia="Songti SC"/>
          <w:b w:val="0"/>
          <w:i w:val="0"/>
          <w:color w:val="667085"/>
          <w:sz w:val="17"/>
        </w:rPr>
        <w:t>未识别 · AI 基础设施 · score 48.8</w:t>
      </w:r>
    </w:p>
    <w:p>
      <w:pPr>
        <w:spacing w:before="0" w:after="100" w:line="264" w:lineRule="auto"/>
      </w:pPr>
      <w:r>
        <w:rPr>
          <w:rFonts w:ascii="Calibri" w:hAnsi="Calibri" w:eastAsia="Songti SC"/>
          <w:b w:val="0"/>
          <w:i w:val="0"/>
          <w:color w:val="334155"/>
          <w:sz w:val="20"/>
        </w:rPr>
        <w:t>截至 2026-06-01（Asia/Singapore），本报告对前序研究结论做压力测试，而不是否定：核心风险不是 AI 需求消失，而是送电设备成为限制“可产生收入算力”的瓶颈。结论具有明显非对称性：单纯的...</w:t>
      </w:r>
    </w:p>
    <w:p>
      <w:pPr>
        <w:spacing w:before="0" w:after="160" w:line="264" w:lineRule="auto"/>
      </w:pPr>
      <w:r>
        <w:rPr>
          <w:rFonts w:ascii="Calibri" w:hAnsi="Calibri" w:eastAsia="Songti SC"/>
          <w:b w:val="0"/>
          <w:i w:val="0"/>
          <w:color w:val="667085"/>
          <w:sz w:val="17"/>
        </w:rPr>
        <w:t xml:space="preserve">Report: </w:t>
      </w:r>
      <w:hyperlink r:id="rId23">
        <w:r>
          <w:rPr>
            <w:color w:val="285B9D"/>
            <w:u w:val="single"/>
            <w:rFonts w:eastAsia="Songti SC" w:ascii="Calibri" w:hAnsi="Calibri"/>
          </w:rPr>
          <w:t>reports/archive-761c20d44e35</w:t>
        </w:r>
      </w:hyperlink>
    </w:p>
    <w:p>
      <w:pPr>
        <w:pStyle w:val="Heading1"/>
      </w:pPr>
      <w:r>
        <w:t>4. 重点跟踪事项</w:t>
      </w:r>
    </w:p>
    <w:p>
      <w:pPr>
        <w:spacing w:before="0" w:after="40" w:line="264" w:lineRule="auto"/>
      </w:pPr>
      <w:r>
        <w:rPr>
          <w:rFonts w:ascii="Calibri" w:hAnsi="Calibri" w:eastAsia="Songti SC"/>
          <w:b/>
          <w:i w:val="0"/>
          <w:color w:val="0B2545"/>
          <w:sz w:val="22"/>
        </w:rPr>
        <w:t>算力瓶颈压力测试：电网传输与并网队列的真实时滞</w:t>
      </w:r>
    </w:p>
    <w:p>
      <w:pPr>
        <w:spacing w:before="0" w:after="60" w:line="264" w:lineRule="auto"/>
      </w:pPr>
      <w:r>
        <w:rPr>
          <w:rFonts w:ascii="Calibri" w:hAnsi="Calibri" w:eastAsia="Songti SC"/>
          <w:b w:val="0"/>
          <w:i w:val="0"/>
          <w:color w:val="334155"/>
          <w:sz w:val="20"/>
        </w:rPr>
        <w:t>电力与电网，影响 5 / 概率 5</w:t>
      </w:r>
    </w:p>
    <w:p>
      <w:pPr>
        <w:spacing w:before="0" w:after="160" w:line="264" w:lineRule="auto"/>
      </w:pPr>
      <w:r>
        <w:rPr>
          <w:rFonts w:ascii="Calibri" w:hAnsi="Calibri" w:eastAsia="Songti SC"/>
          <w:b w:val="0"/>
          <w:i w:val="0"/>
          <w:color w:val="667085"/>
          <w:sz w:val="17"/>
        </w:rPr>
        <w:t xml:space="preserve">Report: </w:t>
      </w:r>
      <w:hyperlink r:id="rId13">
        <w:r>
          <w:rPr>
            <w:color w:val="285B9D"/>
            <w:u w:val="single"/>
            <w:rFonts w:eastAsia="Songti SC" w:ascii="Calibri" w:hAnsi="Calibri"/>
          </w:rPr>
          <w:t>reports/archive-5166d41eec14</w:t>
        </w:r>
      </w:hyperlink>
    </w:p>
    <w:p>
      <w:pPr>
        <w:spacing w:before="0" w:after="40" w:line="264" w:lineRule="auto"/>
      </w:pPr>
      <w:r>
        <w:rPr>
          <w:rFonts w:ascii="Calibri" w:hAnsi="Calibri" w:eastAsia="Songti SC"/>
          <w:b/>
          <w:i w:val="0"/>
          <w:color w:val="0B2545"/>
          <w:sz w:val="22"/>
        </w:rPr>
        <w:t>前序研究研究报告 — 2026-05-28</w:t>
      </w:r>
    </w:p>
    <w:p>
      <w:pPr>
        <w:spacing w:before="0" w:after="60" w:line="264" w:lineRule="auto"/>
      </w:pPr>
      <w:r>
        <w:rPr>
          <w:rFonts w:ascii="Calibri" w:hAnsi="Calibri" w:eastAsia="Songti SC"/>
          <w:b w:val="0"/>
          <w:i w:val="0"/>
          <w:color w:val="334155"/>
          <w:sz w:val="20"/>
        </w:rPr>
        <w:t>AI 基础设施，影响 5 / 概率 5</w:t>
      </w:r>
    </w:p>
    <w:p>
      <w:pPr>
        <w:spacing w:before="0" w:after="160" w:line="264" w:lineRule="auto"/>
      </w:pPr>
      <w:r>
        <w:rPr>
          <w:rFonts w:ascii="Calibri" w:hAnsi="Calibri" w:eastAsia="Songti SC"/>
          <w:b w:val="0"/>
          <w:i w:val="0"/>
          <w:color w:val="667085"/>
          <w:sz w:val="17"/>
        </w:rPr>
        <w:t xml:space="preserve">Report: </w:t>
      </w:r>
      <w:hyperlink r:id="rId24">
        <w:r>
          <w:rPr>
            <w:color w:val="285B9D"/>
            <w:u w:val="single"/>
            <w:rFonts w:eastAsia="Songti SC" w:ascii="Calibri" w:hAnsi="Calibri"/>
          </w:rPr>
          <w:t>reports/archive-19bf4c5712c0</w:t>
        </w:r>
      </w:hyperlink>
    </w:p>
    <w:p>
      <w:pPr>
        <w:spacing w:before="0" w:after="40" w:line="264" w:lineRule="auto"/>
      </w:pPr>
      <w:r>
        <w:rPr>
          <w:rFonts w:ascii="Calibri" w:hAnsi="Calibri" w:eastAsia="Songti SC"/>
          <w:b/>
          <w:i w:val="0"/>
          <w:color w:val="0B2545"/>
          <w:sz w:val="22"/>
        </w:rPr>
        <w:t>AI算力扩张与电网基础设施约束：压力测试CapEx叙事的物理极限</w:t>
      </w:r>
    </w:p>
    <w:p>
      <w:pPr>
        <w:spacing w:before="0" w:after="60" w:line="264" w:lineRule="auto"/>
      </w:pPr>
      <w:r>
        <w:rPr>
          <w:rFonts w:ascii="Calibri" w:hAnsi="Calibri" w:eastAsia="Songti SC"/>
          <w:b w:val="0"/>
          <w:i w:val="0"/>
          <w:color w:val="334155"/>
          <w:sz w:val="20"/>
        </w:rPr>
        <w:t>AI 基础设施，影响 5 / 概率 5</w:t>
      </w:r>
    </w:p>
    <w:p>
      <w:pPr>
        <w:spacing w:before="0" w:after="160" w:line="264" w:lineRule="auto"/>
      </w:pPr>
      <w:r>
        <w:rPr>
          <w:rFonts w:ascii="Calibri" w:hAnsi="Calibri" w:eastAsia="Songti SC"/>
          <w:b w:val="0"/>
          <w:i w:val="0"/>
          <w:color w:val="667085"/>
          <w:sz w:val="17"/>
        </w:rPr>
        <w:t xml:space="preserve">Report: </w:t>
      </w:r>
      <w:hyperlink r:id="rId25">
        <w:r>
          <w:rPr>
            <w:color w:val="285B9D"/>
            <w:u w:val="single"/>
            <w:rFonts w:eastAsia="Songti SC" w:ascii="Calibri" w:hAnsi="Calibri"/>
          </w:rPr>
          <w:t>reports/archive-393766a70997</w:t>
        </w:r>
      </w:hyperlink>
    </w:p>
    <w:p>
      <w:pPr>
        <w:pStyle w:val="Heading1"/>
      </w:pPr>
      <w:r>
        <w:t>5. 证据表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3720"/>
        <w:gridCol w:w="1560"/>
        <w:gridCol w:w="1680"/>
        <w:gridCol w:w="900"/>
        <w:gridCol w:w="1500"/>
      </w:tblGrid>
      <w:tr>
        <w:tc>
          <w:tcPr>
            <w:tcW w:type="dxa" w:w="3720"/>
            <w:vAlign w:val="center"/>
            <w:shd w:fill="F2F4F7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475569"/>
                <w:sz w:val="18"/>
              </w:rPr>
              <w:t>报告</w:t>
            </w:r>
          </w:p>
        </w:tc>
        <w:tc>
          <w:tcPr>
            <w:tcW w:type="dxa" w:w="1560"/>
            <w:vAlign w:val="center"/>
            <w:shd w:fill="F2F4F7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475569"/>
                <w:sz w:val="18"/>
              </w:rPr>
              <w:t>分析师</w:t>
            </w:r>
          </w:p>
        </w:tc>
        <w:tc>
          <w:tcPr>
            <w:tcW w:type="dxa" w:w="1680"/>
            <w:vAlign w:val="center"/>
            <w:shd w:fill="F2F4F7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475569"/>
                <w:sz w:val="18"/>
              </w:rPr>
              <w:t>行业链</w:t>
            </w:r>
          </w:p>
        </w:tc>
        <w:tc>
          <w:tcPr>
            <w:tcW w:type="dxa" w:w="900"/>
            <w:vAlign w:val="center"/>
            <w:shd w:fill="F2F4F7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475569"/>
                <w:sz w:val="18"/>
              </w:rPr>
              <w:t>评分</w:t>
            </w:r>
          </w:p>
        </w:tc>
        <w:tc>
          <w:tcPr>
            <w:tcW w:type="dxa" w:w="1500"/>
            <w:vAlign w:val="center"/>
            <w:shd w:fill="F2F4F7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475569"/>
                <w:sz w:val="18"/>
              </w:rPr>
              <w:t>风险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研究报告：AI电网中游环节（GOES/变压器）的工业政策与地缘政治风险分析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工业供给瓶颈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53.2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风险 2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核心观点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AI 基础设施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51.0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风险 2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"算电协同"下电力与电网设备：CAPEX 脉冲与周期定位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AI 基础设施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50.6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风险 1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算力国产化闭环中的能源约束：电力供应与电网调峰压力分析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AI 基础设施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49.6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风险 3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AI 数据中心电力成本：对西部绿电迁移叙事的压力测试及对算力贝塔毛利率的侵蚀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AI 基础设施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49.2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风险 2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2026-06-01 风险报告：AI电网设备脱钩与TMT估值压力测试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AI 基础设施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48.8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风险 3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能源与电力政策反转对公路物流成本支撑力的侵蚀风险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宏观通胀传导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48.3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风险 1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AI算力扩张下的能源成本与电力供应约束：成长股组合盈利能力的压力测试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AI 基础设施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47.9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风险 2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贸易壁垒升级背景下，AI算力链“国产替代”驱动的进攻端逻辑重构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AI 基础设施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47.8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风险 1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半导体设备与AI硬件产业链的自主化韧性及出口管制风险：高端制造缓冲的“应力测试”与三大裂纹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宏观通胀传导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47.2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风险 2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2026-06-01 电网瓶颈：公用事业成为 AI 电力落地的收费闸门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电力与电网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46.5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风险 2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2026年中国电力与能源成本上涨对中游制造业毛利的传导研究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宏观通胀传导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45.2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风险 1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科技出海进攻端（40%权重）的全球贸易政策与供应链管制风险评估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宏观通胀传导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45.0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风险 2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核心农产品价格周期与餐饮供应链成本护城河的压力测试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宏观通胀传导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45.0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风险 1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制造业去库存下的基础材料需求与利润率压力测试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宏观通胀传导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44.8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风险 2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绿电直连成本上升对AI算力中心建设成本及算力布局的影响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AI 基础设施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44.0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风险 1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核心观点 / Thesis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AI 基础设施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43.9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风险 1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2026-06-01 材料行业视角下的科创50红利-成长杠铃压力测试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宏观通胀传导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43.8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风险 1</w:t>
            </w:r>
          </w:p>
        </w:tc>
      </w:tr>
    </w:tbl>
    <w:p>
      <w:pPr>
        <w:spacing w:before="0" w:after="160" w:line="264" w:lineRule="auto"/>
      </w:pPr>
      <w:r>
        <w:rPr>
          <w:rFonts w:ascii="Calibri" w:hAnsi="Calibri" w:eastAsia="Songti SC"/>
          <w:b w:val="0"/>
          <w:i/>
          <w:color w:val="667085"/>
          <w:sz w:val="17"/>
        </w:rPr>
        <w:t>Table 1. Evidence table excerpt. Full evidence remains available in the interactive daily brief.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Songti SC"/>
        <w:color w:val="667085"/>
        <w:sz w:val="17"/>
      </w:rPr>
      <w:t>Generated from local AI Institute archive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rFonts w:ascii="Calibri" w:hAnsi="Calibri" w:eastAsia="Songti SC"/>
        <w:color w:val="667085"/>
        <w:sz w:val="18"/>
      </w:rPr>
      <w:t>AI Institute Daily Investor Brief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Songti SC"/>
      <w:b w:val="0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Songti S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Songti S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Songti S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Songti SC"/>
      <w:b/>
      <w:color w:val="0B25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 w:eastAsia="Songti SC"/>
      <w:b w:val="0"/>
      <w:i/>
      <w:iCs/>
      <w:color w:val="475569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reports/archive-b5b0ba20bad0" TargetMode="External"/><Relationship Id="rId13" Type="http://schemas.openxmlformats.org/officeDocument/2006/relationships/hyperlink" Target="reports/archive-5166d41eec14" TargetMode="External"/><Relationship Id="rId14" Type="http://schemas.openxmlformats.org/officeDocument/2006/relationships/hyperlink" Target="reports/archive-d43340f2d3bc" TargetMode="External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hyperlink" Target="reports/archive-0939f0b7cabf" TargetMode="External"/><Relationship Id="rId20" Type="http://schemas.openxmlformats.org/officeDocument/2006/relationships/hyperlink" Target="reports/archive-06778d37ded7" TargetMode="External"/><Relationship Id="rId21" Type="http://schemas.openxmlformats.org/officeDocument/2006/relationships/hyperlink" Target="reports/archive-90363200b5cb" TargetMode="External"/><Relationship Id="rId22" Type="http://schemas.openxmlformats.org/officeDocument/2006/relationships/hyperlink" Target="reports/archive-b8ed0ee6dae7" TargetMode="External"/><Relationship Id="rId23" Type="http://schemas.openxmlformats.org/officeDocument/2006/relationships/hyperlink" Target="reports/archive-761c20d44e35" TargetMode="External"/><Relationship Id="rId24" Type="http://schemas.openxmlformats.org/officeDocument/2006/relationships/hyperlink" Target="reports/archive-19bf4c5712c0" TargetMode="External"/><Relationship Id="rId25" Type="http://schemas.openxmlformats.org/officeDocument/2006/relationships/hyperlink" Target="reports/archive-393766a7099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Institute Daily Brief 2026-06-01</dc:title>
  <dc:subject>Daily investor research brief</dc:subject>
  <dc:creator>AI Institute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