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285B9D"/>
          <w:sz w:val="20"/>
        </w:rPr>
        <w:t>AI Institute</w:t>
      </w:r>
    </w:p>
    <w:p>
      <w:pPr>
        <w:pStyle w:val="Title"/>
        <w:spacing w:before="0" w:after="80" w:line="264" w:lineRule="auto"/>
      </w:pPr>
      <w:r>
        <w:rPr>
          <w:rFonts w:ascii="Calibri" w:hAnsi="Calibri" w:eastAsia="Songti SC"/>
          <w:b w:val="0"/>
          <w:i w:val="0"/>
        </w:rPr>
        <w:t>每日投资研究简报</w:t>
      </w:r>
    </w:p>
    <w:p>
      <w:pPr>
        <w:pStyle w:val="Subtitle"/>
        <w:spacing w:before="0" w:after="240" w:line="264" w:lineRule="auto"/>
      </w:pPr>
      <w:r>
        <w:rPr>
          <w:rFonts w:ascii="Calibri" w:hAnsi="Calibri" w:eastAsia="Songti SC"/>
          <w:b w:val="0"/>
          <w:i w:val="0"/>
        </w:rPr>
        <w:t>2026-07-10 · webpage screenshot DOCX edition</w:t>
      </w:r>
    </w:p>
    <w:p>
      <w:pPr>
        <w:spacing w:before="0" w:after="160" w:line="264" w:lineRule="auto"/>
      </w:pPr>
      <w:r>
        <w:rPr>
          <w:rFonts w:ascii="Calibri" w:hAnsi="Calibri" w:eastAsia="Songti SC"/>
          <w:b/>
          <w:i w:val="0"/>
          <w:color w:val="0B2545"/>
          <w:sz w:val="34"/>
        </w:rPr>
        <w:t>宏观通胀传导仍是今日主线，AI 基础设施提供第二层验证。</w:t>
      </w:r>
    </w:p>
    <w:p>
      <w:pPr>
        <w:spacing w:before="0" w:after="240" w:line="264" w:lineRule="auto"/>
      </w:pPr>
      <w:r>
        <w:rPr>
          <w:rFonts w:ascii="Calibri" w:hAnsi="Calibri" w:eastAsia="Songti SC"/>
          <w:b w:val="0"/>
          <w:i w:val="0"/>
          <w:color w:val="334155"/>
          <w:sz w:val="22"/>
        </w:rPr>
        <w:t>2026-07-10 共纳入 31 篇中文研究结果，覆盖 2 位活跃分析师和 2 条主要行业链，较 2026-07-09 的主题变化可在右侧动量表中核对。简报优先呈现可被报告链接追溯的结论，而不是孤立摘要。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今日报告</w:t>
              <w:br/>
            </w:r>
            <w:r>
              <w:rPr>
                <w:rFonts w:ascii="Calibri" w:hAnsi="Calibri" w:eastAsia="Songti SC"/>
                <w:b/>
                <w:color w:val="285B9D"/>
                <w:sz w:val="36"/>
              </w:rPr>
              <w:t>31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活跃分析师</w:t>
              <w:br/>
            </w:r>
            <w:r>
              <w:rPr>
                <w:rFonts w:ascii="Calibri" w:hAnsi="Calibri" w:eastAsia="Songti SC"/>
                <w:b/>
                <w:color w:val="237A5B"/>
                <w:sz w:val="36"/>
              </w:rPr>
              <w:t>2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活跃链条</w:t>
              <w:br/>
            </w:r>
            <w:r>
              <w:rPr>
                <w:rFonts w:ascii="Calibri" w:hAnsi="Calibri" w:eastAsia="Songti SC"/>
                <w:b/>
                <w:color w:val="A8731B"/>
                <w:sz w:val="36"/>
              </w:rPr>
              <w:t>2</w:t>
            </w:r>
          </w:p>
        </w:tc>
        <w:tc>
          <w:tcPr>
            <w:tcW w:type="dxa" w:w="2340"/>
            <w:vAlign w:val="center"/>
            <w:shd w:fill="F8FAFC"/>
          </w:tcPr>
          <w:p>
            <w:pPr>
              <w:spacing w:after="40"/>
            </w:pPr>
            <w:r>
              <w:rPr>
                <w:rFonts w:ascii="Calibri" w:hAnsi="Calibri" w:eastAsia="Songti SC"/>
                <w:b/>
                <w:color w:val="667085"/>
                <w:sz w:val="17"/>
              </w:rPr>
              <w:t>风险信号</w:t>
              <w:br/>
            </w:r>
            <w:r>
              <w:rPr>
                <w:rFonts w:ascii="Calibri" w:hAnsi="Calibri" w:eastAsia="Songti SC"/>
                <w:b/>
                <w:color w:val="B43D49"/>
                <w:sz w:val="36"/>
              </w:rPr>
              <w:t>16</w:t>
            </w:r>
          </w:p>
        </w:tc>
      </w:tr>
    </w:tbl>
    <w:p>
      <w:pPr>
        <w:spacing w:before="0" w:after="160" w:line="264" w:lineRule="auto"/>
      </w:pP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0-web-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1. Webpage snapshot of the daily synthesis and key operating metrics.</w:t>
      </w:r>
    </w:p>
    <w:p>
      <w:pPr>
        <w:pStyle w:val="Heading1"/>
      </w:pPr>
      <w:r>
        <w:t>1. 综合研判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主线判断: </w:t>
      </w:r>
      <w:hyperlink r:id="rId12">
        <w:r>
          <w:rPr>
            <w:color w:val="285B9D"/>
            <w:u w:val="single"/>
            <w:rFonts w:eastAsia="Songti SC" w:ascii="Calibri" w:hAnsi="Calibri"/>
          </w:rPr>
          <w:t>全球宏观专题报告：通胀路径验证、美联储反应函数与权益估值压力测试 是今日最高权重结论，核心证据来自 未识别，关联 宏观通胀传导。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变化信号: </w:t>
      </w:r>
      <w:r>
        <w:rPr>
          <w:rFonts w:ascii="Calibri" w:hAnsi="Calibri" w:eastAsia="Songti SC"/>
          <w:color w:val="111827"/>
          <w:sz w:val="21"/>
        </w:rPr>
        <w:t>AI 今日 降温，当日计数 20，前一日计数 318。</w:t>
      </w:r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风险焦点: </w:t>
      </w:r>
      <w:hyperlink r:id="rId13">
        <w:r>
          <w:rPr>
            <w:color w:val="285B9D"/>
            <w:u w:val="single"/>
            <w:rFonts w:eastAsia="Songti SC" w:ascii="Calibri" w:hAnsi="Calibri"/>
          </w:rPr>
          <w:t>风险矩阵最需要跟踪的是 AI 基础设施：AI 算力开支刚性与北美变压器及并网物理瓶颈的估值博弈。</w:t>
        </w:r>
      </w:hyperlink>
    </w:p>
    <w:p>
      <w:pPr>
        <w:spacing w:after="140"/>
        <w:ind w:left="259" w:hanging="259"/>
      </w:pPr>
      <w:r>
        <w:rPr>
          <w:rFonts w:ascii="Calibri" w:hAnsi="Calibri" w:eastAsia="Songti SC"/>
          <w:b/>
          <w:color w:val="285B9D"/>
          <w:sz w:val="21"/>
        </w:rPr>
        <w:t xml:space="preserve">证据密度: </w:t>
      </w:r>
      <w:hyperlink r:id="rId14">
        <w:r>
          <w:rPr>
            <w:color w:val="285B9D"/>
            <w:u w:val="single"/>
            <w:rFonts w:eastAsia="Songti SC" w:ascii="Calibri" w:hAnsi="Calibri"/>
          </w:rPr>
          <w:t>宏观通胀传导 今日 31 条、近七日 1505 条，风险信号 1075 条。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7E6"/>
          </w:tcPr>
          <w:p>
            <w:r>
              <w:rPr>
                <w:rFonts w:ascii="Calibri" w:hAnsi="Calibri" w:eastAsia="Songti SC"/>
                <w:b/>
                <w:color w:val="7A5A00"/>
                <w:sz w:val="21"/>
              </w:rPr>
              <w:t xml:space="preserve">投资解读: </w:t>
            </w:r>
            <w:r>
              <w:rPr>
                <w:rFonts w:ascii="Calibri" w:hAnsi="Calibri" w:eastAsia="Songti SC"/>
                <w:color w:val="7C2D12"/>
                <w:sz w:val="21"/>
              </w:rPr>
              <w:t>投资含义上，本日简报更适合作为主题和风险筛选器：先看行业链雷达确认资金关注方向，再用风险矩阵排除证据不足或约束过强的交易表达。</w:t>
            </w:r>
          </w:p>
        </w:tc>
      </w:tr>
    </w:tbl>
    <w:p>
      <w:pPr>
        <w:spacing w:before="0" w:after="120" w:line="264" w:lineRule="auto"/>
      </w:pPr>
    </w:p>
    <w:p>
      <w:pPr>
        <w:pStyle w:val="Heading1"/>
      </w:pPr>
      <w:r>
        <w:t>2. 可视化仪表板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0-web-tre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2. Webpage snapshot of topic momentum and daily change signals.</w:t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0-web-chai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3. Webpage snapshot of industry-chain heat and evidence links.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0-web-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4. Webpage snapshot of the risk matrix and pressure-test items.</w:t>
      </w:r>
    </w:p>
    <w:p>
      <w:r>
        <w:br w:type="page"/>
      </w:r>
    </w:p>
    <w:p>
      <w:pPr>
        <w:spacing w:before="4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7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brief-2026-07-10-web-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200" w:line="264" w:lineRule="auto"/>
        <w:jc w:val="center"/>
      </w:pPr>
      <w:r>
        <w:rPr>
          <w:rFonts w:ascii="Calibri" w:hAnsi="Calibri" w:eastAsia="Songti SC"/>
          <w:b w:val="0"/>
          <w:i/>
          <w:color w:val="667085"/>
          <w:sz w:val="17"/>
        </w:rPr>
        <w:t>Figure 5. Webpage snapshot of analyst activity and ranked conclusions.</w:t>
      </w:r>
    </w:p>
    <w:p>
      <w:pPr>
        <w:pStyle w:val="Heading1"/>
      </w:pPr>
      <w:r>
        <w:t>3. 今日核心结论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1. 全球宏观专题报告：通胀路径验证、美联储反应函数与权益估值压力测试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宏观通胀传导 · score 44.1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报告日期：2026-07-10 [S1] 分析师：全球宏观分析师 (global-macro) 研究记录定位：prior research notes/08 (压力测试 - stress-test)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2">
        <w:r>
          <w:rPr>
            <w:color w:val="285B9D"/>
            <w:u w:val="single"/>
            <w:rFonts w:eastAsia="Songti SC" w:ascii="Calibri" w:hAnsi="Calibri"/>
          </w:rPr>
          <w:t>reports/archive-c7f866e26396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2. 把央行流动性时钟转化为红利腿与组合风险预算的最终权重报告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宏观通胀传导 · score 43.8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研究院工作日锚定日期：2026-07-10 分析师：首席策略师 (Chief Strategist - ID: chief-strategist) 研究记录级别：prior research notes/ 08 (Stance: Synthesize - 综合研究) 会话根主题：VIX...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9">
        <w:r>
          <w:rPr>
            <w:color w:val="285B9D"/>
            <w:u w:val="single"/>
            <w:rFonts w:eastAsia="Songti SC" w:ascii="Calibri" w:hAnsi="Calibri"/>
          </w:rPr>
          <w:t>reports/archive-ccb12ffcda68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3. 日元套利平仓冲击下的多资产组合风险预算重构与凸性防线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宏观通胀传导 · score 43.2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研究记录 — 研究 Board 5080a504-eef1-4115-a9f4-6f8091cc16b0 作者角色：大类资产配置师 · 立场：压力测试（STRESS-TEST） 工作日期：2026-07-10（Asia/Singapore） 会话根主题：VIX 17 与 2...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0">
        <w:r>
          <w:rPr>
            <w:color w:val="285B9D"/>
            <w:u w:val="single"/>
            <w:rFonts w:eastAsia="Songti SC" w:ascii="Calibri" w:hAnsi="Calibri"/>
          </w:rPr>
          <w:t>reports/archive-72f14f51eff6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4. 2026-07-10 策略研究记录：轻度滞胀压力下的防守再平衡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未识别 · 宏观通胀传导 · score 42.4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工作日期：2026-07-10，Asia/Singapore。本报告立场是 压力测试并给出执行方案：我支持prior research notes关于10年期美债收益率停留在4.6%附近、商品因地缘风险再起而反弹的“轻度滞胀”设定...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1">
        <w:r>
          <w:rPr>
            <w:color w:val="285B9D"/>
            <w:u w:val="single"/>
            <w:rFonts w:eastAsia="Songti SC" w:ascii="Calibri" w:hAnsi="Calibri"/>
          </w:rPr>
          <w:t>reports/archive-96ab098c8b4e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5. 研究院诊断报告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研究院诊断师 · 宏观通胀传导 · score 40.9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锚定日期：2026-07-10（shell date +%Y-%m-%d ）。未使用 web search；所有证据来自本工作区内的内部文件与端点快照。 fleet health.md 未在工作区出现，且提示中内联的 &lt;&lt;&lt;FLEET HEALTH 区块为...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4">
        <w:r>
          <w:rPr>
            <w:color w:val="285B9D"/>
            <w:u w:val="single"/>
            <w:rFonts w:eastAsia="Songti SC" w:ascii="Calibri" w:hAnsi="Calibri"/>
          </w:rPr>
          <w:t>reports/archive-9cb3cc592c88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3"/>
        </w:rPr>
        <w:t>6. 2883.HK 公司概况</w:t>
      </w:r>
    </w:p>
    <w:p>
      <w:pPr>
        <w:spacing w:before="0" w:after="4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>深研主编 · 宏观通胀传导 · score 40.5</w:t>
      </w:r>
    </w:p>
    <w:p>
      <w:pPr>
        <w:spacing w:before="0" w:after="10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2883.HK 对应中海油田服务股份有限公司（China Oilfield Services Limited，简称“中海油服”或“COSL”），公司 H 股在香港联合交易所上市，股票代码为 2883，A 股在上海证券交易所上市，股票...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2">
        <w:r>
          <w:rPr>
            <w:color w:val="285B9D"/>
            <w:u w:val="single"/>
            <w:rFonts w:eastAsia="Songti SC" w:ascii="Calibri" w:hAnsi="Calibri"/>
          </w:rPr>
          <w:t>reports/archive-35c211a2cff4</w:t>
        </w:r>
      </w:hyperlink>
    </w:p>
    <w:p>
      <w:pPr>
        <w:pStyle w:val="Heading1"/>
      </w:pPr>
      <w:r>
        <w:t>4. 重点跟踪事项</w:t>
      </w:r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AI 算力开支刚性与北美变压器及并网物理瓶颈的估值博弈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AI 基础设施，影响 5 / 概率 3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13">
        <w:r>
          <w:rPr>
            <w:color w:val="285B9D"/>
            <w:u w:val="single"/>
            <w:rFonts w:eastAsia="Songti SC" w:ascii="Calibri" w:hAnsi="Calibri"/>
          </w:rPr>
          <w:t>reports/archive-db053b73b427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中国电网设备与液冷温控供应链产能瓶颈及交付周期分析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工业供给瓶颈，影响 5 / 概率 5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3">
        <w:r>
          <w:rPr>
            <w:color w:val="285B9D"/>
            <w:u w:val="single"/>
            <w:rFonts w:eastAsia="Songti SC" w:ascii="Calibri" w:hAnsi="Calibri"/>
          </w:rPr>
          <w:t>reports/archive-710afaa90d12</w:t>
        </w:r>
      </w:hyperlink>
    </w:p>
    <w:p>
      <w:pPr>
        <w:spacing w:before="0" w:after="40" w:line="264" w:lineRule="auto"/>
      </w:pPr>
      <w:r>
        <w:rPr>
          <w:rFonts w:ascii="Calibri" w:hAnsi="Calibri" w:eastAsia="Songti SC"/>
          <w:b/>
          <w:i w:val="0"/>
          <w:color w:val="0B2545"/>
          <w:sz w:val="22"/>
        </w:rPr>
        <w:t>研究报告：2026-07-08</w:t>
      </w:r>
    </w:p>
    <w:p>
      <w:pPr>
        <w:spacing w:before="0" w:after="60" w:line="264" w:lineRule="auto"/>
      </w:pPr>
      <w:r>
        <w:rPr>
          <w:rFonts w:ascii="Calibri" w:hAnsi="Calibri" w:eastAsia="Songti SC"/>
          <w:b w:val="0"/>
          <w:i w:val="0"/>
          <w:color w:val="334155"/>
          <w:sz w:val="20"/>
        </w:rPr>
        <w:t>电力与电网，影响 5 / 概率 3</w:t>
      </w:r>
    </w:p>
    <w:p>
      <w:pPr>
        <w:spacing w:before="0" w:after="160" w:line="264" w:lineRule="auto"/>
      </w:pPr>
      <w:r>
        <w:rPr>
          <w:rFonts w:ascii="Calibri" w:hAnsi="Calibri" w:eastAsia="Songti SC"/>
          <w:b w:val="0"/>
          <w:i w:val="0"/>
          <w:color w:val="667085"/>
          <w:sz w:val="17"/>
        </w:rPr>
        <w:t xml:space="preserve">Report: </w:t>
      </w:r>
      <w:hyperlink r:id="rId24">
        <w:r>
          <w:rPr>
            <w:color w:val="285B9D"/>
            <w:u w:val="single"/>
            <w:rFonts w:eastAsia="Songti SC" w:ascii="Calibri" w:hAnsi="Calibri"/>
          </w:rPr>
          <w:t>reports/archive-3cad4d3b9917</w:t>
        </w:r>
      </w:hyperlink>
    </w:p>
    <w:p>
      <w:pPr>
        <w:pStyle w:val="Heading1"/>
      </w:pPr>
      <w:r>
        <w:t>5. 证据表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720"/>
        <w:gridCol w:w="1560"/>
        <w:gridCol w:w="1680"/>
        <w:gridCol w:w="900"/>
        <w:gridCol w:w="1500"/>
      </w:tblGrid>
      <w:tr>
        <w:tc>
          <w:tcPr>
            <w:tcW w:type="dxa" w:w="372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报告</w:t>
            </w:r>
          </w:p>
        </w:tc>
        <w:tc>
          <w:tcPr>
            <w:tcW w:type="dxa" w:w="156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分析师</w:t>
            </w:r>
          </w:p>
        </w:tc>
        <w:tc>
          <w:tcPr>
            <w:tcW w:type="dxa" w:w="168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行业链</w:t>
            </w:r>
          </w:p>
        </w:tc>
        <w:tc>
          <w:tcPr>
            <w:tcW w:type="dxa" w:w="9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评分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475569"/>
                <w:sz w:val="18"/>
              </w:rPr>
              <w:t>风险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全球宏观专题报告：通胀路径验证、美联储反应函数与权益估值压力测试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44.1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把央行流动性时钟转化为红利腿与组合风险预算的最终权重报告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43.8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日元套利平仓冲击下的多资产组合风险预算重构与凸性防线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43.2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2026-07-10 策略研究记录：轻度滞胀压力下的防守再平衡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42.4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研究院诊断报告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研究院诊断师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40.9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2883.HK 公司概况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深研主编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40.5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2026-07-10 全球宏观报告：中国生产资料PPI再通胀能否传导至核心CPI？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40.5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USD/CNH 6.87 阈值后的动态套保与离岸美元流动性监控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40.2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10Y CGB跌破1.70%的利率曲线与久期反转压力测试 — 2026-07-10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40.1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2026-07-10 宏观研究记录：油价冲击为何没有引发典型避险？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39.6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Recent operator-action digest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研究院诊断师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39.1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2026-07-10 研究报告：分化再通胀下的跨资产配置——久期、CNY、A股风格与商品的系统配置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38.4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极度牛平与久期反转情景下的多资产风险平价重塑与套保优化 — 2026-07-10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37.6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全球宏观研究报告：美联储鹰派路径下的美日/美德利差与全球套利交易压力测试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37.5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2026-07-10最终统一房观：油价冲击、离岸美元与carry尾部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37.5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2026-07-10 策略研究记录：39%债券仓位内的久期结构与USD/CNH套保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35.7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常规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2026-07-10 首席策略师研究记录：把65/25/10主权债子仓、FX对冲、payer swaption与JPY凸性并入完整...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AI 基础设施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34.4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1</w:t>
            </w:r>
          </w:p>
        </w:tc>
      </w:tr>
      <w:tr>
        <w:tc>
          <w:tcPr>
            <w:tcW w:type="dxa" w:w="372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7"/>
              </w:rPr>
              <w:t>40/25/25/10 杠铃治理手册发布前 QA 审计</w:t>
            </w:r>
          </w:p>
        </w:tc>
        <w:tc>
          <w:tcPr>
            <w:tcW w:type="dxa" w:w="156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未识别</w:t>
            </w:r>
          </w:p>
        </w:tc>
        <w:tc>
          <w:tcPr>
            <w:tcW w:type="dxa" w:w="1680"/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宏观通胀传导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/>
                <w:color w:val="111827"/>
                <w:sz w:val="17"/>
              </w:rPr>
              <w:t>33.9</w:t>
            </w:r>
          </w:p>
        </w:tc>
        <w:tc>
          <w:tcPr>
            <w:tcW w:type="dxa" w:w="150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Songti SC"/>
                <w:b w:val="0"/>
                <w:color w:val="111827"/>
                <w:sz w:val="16"/>
              </w:rPr>
              <w:t>风险 2</w:t>
            </w:r>
          </w:p>
        </w:tc>
      </w:tr>
    </w:tbl>
    <w:p>
      <w:pPr>
        <w:spacing w:before="0" w:after="160" w:line="264" w:lineRule="auto"/>
      </w:pPr>
      <w:r>
        <w:rPr>
          <w:rFonts w:ascii="Calibri" w:hAnsi="Calibri" w:eastAsia="Songti SC"/>
          <w:b w:val="0"/>
          <w:i/>
          <w:color w:val="667085"/>
          <w:sz w:val="17"/>
        </w:rPr>
        <w:t>Table 1. Evidence table excerpt. Full evidence remains available in the interactive daily brief.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Songti SC"/>
        <w:color w:val="667085"/>
        <w:sz w:val="17"/>
      </w:rPr>
      <w:t>Generated from local AI Institute archive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eastAsia="Songti SC"/>
        <w:color w:val="667085"/>
        <w:sz w:val="18"/>
      </w:rPr>
      <w:t>AI Institute Daily Investor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Songti SC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Songti SC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Songti SC"/>
      <w:b w:val="0"/>
      <w:i/>
      <w:iCs/>
      <w:color w:val="4755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reports/archive-c7f866e26396" TargetMode="External"/><Relationship Id="rId13" Type="http://schemas.openxmlformats.org/officeDocument/2006/relationships/hyperlink" Target="reports/archive-db053b73b427" TargetMode="External"/><Relationship Id="rId14" Type="http://schemas.openxmlformats.org/officeDocument/2006/relationships/hyperlink" Target="reports/archive-9cb3cc592c88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hyperlink" Target="reports/archive-ccb12ffcda68" TargetMode="External"/><Relationship Id="rId20" Type="http://schemas.openxmlformats.org/officeDocument/2006/relationships/hyperlink" Target="reports/archive-72f14f51eff6" TargetMode="External"/><Relationship Id="rId21" Type="http://schemas.openxmlformats.org/officeDocument/2006/relationships/hyperlink" Target="reports/archive-96ab098c8b4e" TargetMode="External"/><Relationship Id="rId22" Type="http://schemas.openxmlformats.org/officeDocument/2006/relationships/hyperlink" Target="reports/archive-35c211a2cff4" TargetMode="External"/><Relationship Id="rId23" Type="http://schemas.openxmlformats.org/officeDocument/2006/relationships/hyperlink" Target="reports/archive-710afaa90d12" TargetMode="External"/><Relationship Id="rId24" Type="http://schemas.openxmlformats.org/officeDocument/2006/relationships/hyperlink" Target="reports/archive-3cad4d3b991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Institute Daily Brief 2026-07-10</dc:title>
  <dc:subject>Daily investor research brief</dc:subject>
  <dc:creator>AI Institute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