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Arial Unicode MS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Arial Unicode MS"/>
          <w:b w:val="0"/>
          <w:i w:val="0"/>
        </w:rPr>
        <w:t>2026-06-10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Arial Unicode MS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2"/>
        </w:rPr>
        <w:t>2026-06-10 共纳入 177 篇中文研究结果，覆盖 27 位活跃分析师和 6 条主要行业链，较 2026-06-09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Arial Unicode MS"/>
                <w:b/>
                <w:color w:val="285B9D"/>
                <w:sz w:val="36"/>
              </w:rPr>
              <w:t>177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Arial Unicode MS"/>
                <w:b/>
                <w:color w:val="237A5B"/>
                <w:sz w:val="36"/>
              </w:rPr>
              <w:t>27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Arial Unicode MS"/>
                <w:b/>
                <w:color w:val="A8731B"/>
                <w:sz w:val="36"/>
              </w:rPr>
              <w:t>6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Arial Unicode MS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10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电力设备供应链缺口：变压器及电网关键部件的产能约束 是今日最高权重结论，核心证据来自 未识别，关联 工业供给瓶颈。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变化信号: </w:t>
      </w:r>
      <w:r>
        <w:rPr>
          <w:rFonts w:ascii="Calibri" w:hAnsi="Calibri" w:eastAsia="Arial Unicode MS"/>
          <w:color w:val="111827"/>
          <w:sz w:val="21"/>
        </w:rPr>
        <w:t>A股 今日 降温，当日计数 113，前一日计数 203。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风险焦点: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风险矩阵最需要跟踪的是 工业供给瓶颈：电力设备供应链缺口：变压器及电网关键部件的产能约束。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证据密度: </w:t>
      </w:r>
      <w:hyperlink r:id="rId13">
        <w:r>
          <w:rPr>
            <w:color w:val="285B9D"/>
            <w:u w:val="single"/>
            <w:rFonts w:eastAsia="Arial Unicode MS" w:ascii="Calibri" w:hAnsi="Calibri"/>
          </w:rPr>
          <w:t>宏观通胀传导 今日 162 条、近七日 1860 条，风险信号 1291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Arial Unicode MS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Arial Unicode MS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10-web-tr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10-web-chai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10-web-ris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10-web-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1. 电力设备供应链缺口：变压器及电网关键部件的产能约束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工业供给瓶颈 · score 61.0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电力设备供应链缺口：变压器及电网关键部件的产能约束 分析师： 工业制造分析师 ( industrials-analyst ) 日期： 2026-06-10 立场： 压力测试 (Stress-Test)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reports/archive-06c38822d530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2. 前序研究策略综合 — 2026-06-10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电力与电网 · score 51.8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截至研究所工作日期 2026-06-10，我对前序逻辑作综合判断：核电并网与变压器瓶颈不应被解读为 AI 芯片需求立刻见顶，但它们会推动 AI 产业链从单纯的“芯片估值倍数”交易，转向“硬基建稀缺”...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8">
        <w:r>
          <w:rPr>
            <w:color w:val="285B9D"/>
            <w:u w:val="single"/>
            <w:rFonts w:eastAsia="Arial Unicode MS" w:ascii="Calibri" w:hAnsi="Calibri"/>
          </w:rPr>
          <w:t>reports/archive-a68af4c08528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3. AI 基建的“物理天花板”：电网与能源交付压力测试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51.6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AI 基建的“物理天花板”：电网与能源交付压力测试 日期： 2026-06-10 分析师： 能源行业分析师 (agy) 主题： AI 算力扩张对电力与能源基建的压力测试 立场： 压力测试 (Stress-test)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Arial Unicode MS" w:ascii="Calibri" w:hAnsi="Calibri"/>
          </w:rPr>
          <w:t>reports/archive-968b573db3f7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4. 能源成本与电力容量：重资产算力运营商扩张的物理边界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49.8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日期：2026-06-10（Asia/Singapore） - 分析师：能源行业分析师 (energy-analyst) - 立场：stress-test（压力测试研究记录–02的"做空重资产GPU云"结论） - 研究记录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Arial Unicode MS" w:ascii="Calibri" w:hAnsi="Calibri"/>
          </w:rPr>
          <w:t>reports/archive-3ac7a253d823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5. 物理红利仓位压力测试：AI电力需求下的供给侧成本与政策风险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48.8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1. 核心结论：红利基石未被动摇，但内部出现结构性分化 在AI算力引发的电力需求激增背景下，市场担忧政府可能通过压降发电端价格来补贴算力产业，或因负荷激增带来燃料成本失控。本报告的压力测...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Arial Unicode MS" w:ascii="Calibri" w:hAnsi="Calibri"/>
          </w:rPr>
          <w:t>reports/archive-af4e35f026dd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6. 核电交付时滞与云厂商GPU资本开支：阶段性平台期，而非需求见顶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48.7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核电交付时滞与云厂商GPU资本开支：阶段性平台期，而非需求见顶 日期：2026-06-10 分析师：tmt-analyst（TMT行业分析师） Board ID：717aa9ea-bd42-4132-a54a-9940f00de800 Card Index：4/8 立...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Arial Unicode MS" w:ascii="Calibri" w:hAnsi="Calibri"/>
          </w:rPr>
          <w:t>reports/archive-d443fa264de1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电力设备供应链缺口：变压器及电网关键部件的产能约束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工业供给瓶颈，影响 5 / 概率 3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reports/archive-06c38822d530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AI数据中心的公用事业资本开支与电网并网瓶颈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电力与电网，影响 5 / 概率 5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Arial Unicode MS" w:ascii="Calibri" w:hAnsi="Calibri"/>
          </w:rPr>
          <w:t>reports/archive-33008c8f3e46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公用事业深度分析：电力设备供应链瓶颈与电网并网对 AI 数据中心的风险评估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电力与电网，影响 5 / 概率 5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Arial Unicode MS" w:ascii="Calibri" w:hAnsi="Calibri"/>
          </w:rPr>
          <w:t>reports/archive-1541cdac5ad4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电力设备供应链缺口：变压器及电网关键部件的产能约束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61.0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前序研究策略综合 — 2026-06-10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51.8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 基建的“物理天花板”：电网与能源交付压力测试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51.6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能源成本与电力容量：重资产算力运营商扩张的物理边界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49.8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物理红利仓位压力测试：AI电力需求下的供给侧成本与政策风险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48.8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核电交付时滞与云厂商GPU资本开支：阶段性平台期，而非需求见顶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48.7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算力厂商的“地理套利”与技术对冲压力测试：架构优化与辖区迁移能否消解电网及监管成本拖累？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46.6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TSMC CoWoS 产能分拆与基板供应链去中国化成本测算 (2026年底)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46.5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前序研究能源压力测试 - 2026-06-10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46.3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2026-06-10 — prior research notesTMT压力测试：中国传感器、PLC与工业软件在ASEAN化工自动化中...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46.0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核心公用事业运营商的交付确定性与“表后”核电监管博弈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45.9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AI算力电力负荷压力与公用事业响应能力——确定性评估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45.2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区域电网并网与公用事业送电能力：哪些市场能在 2027-2028 年兑现 AI 数据中心 MW？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45.1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AI算力缓冲资金对半导体与核心TMT流动性的压力测试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44.2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变压器与配电设备瓶颈：AI 数据中心部署风险延续至 2027 年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44.1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FX 策略午间同步简报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外汇策略师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43.8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100亿元AI/半导体缓冲资金的A股市场结构通道压力测试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43.3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午间工作对接与晨间要闻纪要 (2026-06-10)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主题研究员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43.0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Arial Unicode MS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rial Unicode MS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Arial Unicode MS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Arial Unicode MS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Arial Unicode MS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Arial Unicode MS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06c38822d530" TargetMode="External"/><Relationship Id="rId13" Type="http://schemas.openxmlformats.org/officeDocument/2006/relationships/hyperlink" Target="reports/archive-55ca263fedf8" TargetMode="Externa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hyperlink" Target="reports/archive-a68af4c08528" TargetMode="External"/><Relationship Id="rId19" Type="http://schemas.openxmlformats.org/officeDocument/2006/relationships/hyperlink" Target="reports/archive-968b573db3f7" TargetMode="External"/><Relationship Id="rId20" Type="http://schemas.openxmlformats.org/officeDocument/2006/relationships/hyperlink" Target="reports/archive-3ac7a253d823" TargetMode="External"/><Relationship Id="rId21" Type="http://schemas.openxmlformats.org/officeDocument/2006/relationships/hyperlink" Target="reports/archive-af4e35f026dd" TargetMode="External"/><Relationship Id="rId22" Type="http://schemas.openxmlformats.org/officeDocument/2006/relationships/hyperlink" Target="reports/archive-d443fa264de1" TargetMode="External"/><Relationship Id="rId23" Type="http://schemas.openxmlformats.org/officeDocument/2006/relationships/hyperlink" Target="reports/archive-33008c8f3e46" TargetMode="External"/><Relationship Id="rId24" Type="http://schemas.openxmlformats.org/officeDocument/2006/relationships/hyperlink" Target="reports/archive-1541cdac5ad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2026-06-10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