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</w:pPr>
      <w:r>
        <w:rPr>
          <w:rFonts w:ascii="Calibri" w:hAnsi="Calibri" w:eastAsia="Songti SC"/>
          <w:b/>
          <w:i w:val="0"/>
          <w:color w:val="285B9D"/>
          <w:sz w:val="20"/>
        </w:rPr>
        <w:t>AI Institute</w:t>
      </w:r>
    </w:p>
    <w:p>
      <w:pPr>
        <w:pStyle w:val="Title"/>
        <w:spacing w:before="0" w:after="80" w:line="264" w:lineRule="auto"/>
      </w:pPr>
      <w:r>
        <w:rPr>
          <w:rFonts w:ascii="Calibri" w:hAnsi="Calibri" w:eastAsia="Songti SC"/>
          <w:b w:val="0"/>
          <w:i w:val="0"/>
        </w:rPr>
        <w:t>每日投资研究简报</w:t>
      </w:r>
    </w:p>
    <w:p>
      <w:pPr>
        <w:pStyle w:val="Subtitle"/>
        <w:spacing w:before="0" w:after="240" w:line="264" w:lineRule="auto"/>
      </w:pPr>
      <w:r>
        <w:rPr>
          <w:rFonts w:ascii="Calibri" w:hAnsi="Calibri" w:eastAsia="Songti SC"/>
          <w:b w:val="0"/>
          <w:i w:val="0"/>
        </w:rPr>
        <w:t>2026-06-18 · webpage screenshot DOCX edition</w:t>
      </w:r>
    </w:p>
    <w:p>
      <w:pPr>
        <w:spacing w:before="0" w:after="160" w:line="264" w:lineRule="auto"/>
      </w:pPr>
      <w:r>
        <w:rPr>
          <w:rFonts w:ascii="Calibri" w:hAnsi="Calibri" w:eastAsia="Songti SC"/>
          <w:b/>
          <w:i w:val="0"/>
          <w:color w:val="0B2545"/>
          <w:sz w:val="34"/>
        </w:rPr>
        <w:t>宏观通胀传导仍是今日主线，AI 基础设施提供第二层验证。</w:t>
      </w:r>
    </w:p>
    <w:p>
      <w:pPr>
        <w:spacing w:before="0" w:after="240" w:line="264" w:lineRule="auto"/>
      </w:pPr>
      <w:r>
        <w:rPr>
          <w:rFonts w:ascii="Calibri" w:hAnsi="Calibri" w:eastAsia="Songti SC"/>
          <w:b w:val="0"/>
          <w:i w:val="0"/>
          <w:color w:val="334155"/>
          <w:sz w:val="22"/>
        </w:rPr>
        <w:t>2026-06-18 共纳入 178 篇中文研究结果，覆盖 26 位活跃分析师和 6 条主要行业链，较 2026-06-17 的主题变化可在右侧动量表中核对。简报优先呈现可被报告链接追溯的结论，而不是孤立摘要。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Songti SC"/>
                <w:b/>
                <w:color w:val="667085"/>
                <w:sz w:val="17"/>
              </w:rPr>
              <w:t>今日报告</w:t>
              <w:br/>
            </w:r>
            <w:r>
              <w:rPr>
                <w:rFonts w:ascii="Calibri" w:hAnsi="Calibri" w:eastAsia="Songti SC"/>
                <w:b/>
                <w:color w:val="285B9D"/>
                <w:sz w:val="36"/>
              </w:rPr>
              <w:t>178</w:t>
            </w:r>
          </w:p>
        </w:tc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Songti SC"/>
                <w:b/>
                <w:color w:val="667085"/>
                <w:sz w:val="17"/>
              </w:rPr>
              <w:t>活跃分析师</w:t>
              <w:br/>
            </w:r>
            <w:r>
              <w:rPr>
                <w:rFonts w:ascii="Calibri" w:hAnsi="Calibri" w:eastAsia="Songti SC"/>
                <w:b/>
                <w:color w:val="237A5B"/>
                <w:sz w:val="36"/>
              </w:rPr>
              <w:t>26</w:t>
            </w:r>
          </w:p>
        </w:tc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Songti SC"/>
                <w:b/>
                <w:color w:val="667085"/>
                <w:sz w:val="17"/>
              </w:rPr>
              <w:t>活跃链条</w:t>
              <w:br/>
            </w:r>
            <w:r>
              <w:rPr>
                <w:rFonts w:ascii="Calibri" w:hAnsi="Calibri" w:eastAsia="Songti SC"/>
                <w:b/>
                <w:color w:val="A8731B"/>
                <w:sz w:val="36"/>
              </w:rPr>
              <w:t>6</w:t>
            </w:r>
          </w:p>
        </w:tc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Songti SC"/>
                <w:b/>
                <w:color w:val="667085"/>
                <w:sz w:val="17"/>
              </w:rPr>
              <w:t>风险信号</w:t>
              <w:br/>
            </w:r>
            <w:r>
              <w:rPr>
                <w:rFonts w:ascii="Calibri" w:hAnsi="Calibri" w:eastAsia="Songti SC"/>
                <w:b/>
                <w:color w:val="B43D49"/>
                <w:sz w:val="36"/>
              </w:rPr>
              <w:t>16</w:t>
            </w:r>
          </w:p>
        </w:tc>
      </w:tr>
    </w:tbl>
    <w:p>
      <w:pPr>
        <w:spacing w:before="0" w:after="160" w:line="264" w:lineRule="auto"/>
      </w:pP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6-18-web-summa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Songti SC"/>
          <w:b w:val="0"/>
          <w:i/>
          <w:color w:val="667085"/>
          <w:sz w:val="17"/>
        </w:rPr>
        <w:t>Figure 1. Webpage snapshot of the daily synthesis and key operating metrics.</w:t>
      </w:r>
    </w:p>
    <w:p>
      <w:pPr>
        <w:pStyle w:val="Heading1"/>
      </w:pPr>
      <w:r>
        <w:t>1. 综合研判</w:t>
      </w:r>
    </w:p>
    <w:p>
      <w:pPr>
        <w:spacing w:after="140"/>
        <w:ind w:left="259" w:hanging="259"/>
      </w:pPr>
      <w:r>
        <w:rPr>
          <w:rFonts w:ascii="Calibri" w:hAnsi="Calibri" w:eastAsia="Songti SC"/>
          <w:b/>
          <w:color w:val="285B9D"/>
          <w:sz w:val="21"/>
        </w:rPr>
        <w:t xml:space="preserve">主线判断: </w:t>
      </w:r>
      <w:hyperlink r:id="rId12">
        <w:r>
          <w:rPr>
            <w:color w:val="285B9D"/>
            <w:u w:val="single"/>
            <w:rFonts w:eastAsia="Songti SC" w:ascii="Calibri" w:hAnsi="Calibri"/>
          </w:rPr>
          <w:t>终审质量审计：AI至电网基础设施白皮书 — 2026-06-18 是今日最高权重结论，核心证据来自 未识别，关联 AI 基础设施。</w:t>
        </w:r>
      </w:hyperlink>
    </w:p>
    <w:p>
      <w:pPr>
        <w:spacing w:after="140"/>
        <w:ind w:left="259" w:hanging="259"/>
      </w:pPr>
      <w:r>
        <w:rPr>
          <w:rFonts w:ascii="Calibri" w:hAnsi="Calibri" w:eastAsia="Songti SC"/>
          <w:b/>
          <w:color w:val="285B9D"/>
          <w:sz w:val="21"/>
        </w:rPr>
        <w:t xml:space="preserve">变化信号: </w:t>
      </w:r>
      <w:r>
        <w:rPr>
          <w:rFonts w:ascii="Calibri" w:hAnsi="Calibri" w:eastAsia="Songti SC"/>
          <w:color w:val="111827"/>
          <w:sz w:val="21"/>
        </w:rPr>
        <w:t>A股 今日 降温，当日计数 96，前一日计数 127。</w:t>
      </w:r>
    </w:p>
    <w:p>
      <w:pPr>
        <w:spacing w:after="140"/>
        <w:ind w:left="259" w:hanging="259"/>
      </w:pPr>
      <w:r>
        <w:rPr>
          <w:rFonts w:ascii="Calibri" w:hAnsi="Calibri" w:eastAsia="Songti SC"/>
          <w:b/>
          <w:color w:val="285B9D"/>
          <w:sz w:val="21"/>
        </w:rPr>
        <w:t xml:space="preserve">风险焦点: </w:t>
      </w:r>
      <w:hyperlink r:id="rId13">
        <w:r>
          <w:rPr>
            <w:color w:val="285B9D"/>
            <w:u w:val="single"/>
            <w:rFonts w:eastAsia="Songti SC" w:ascii="Calibri" w:hAnsi="Calibri"/>
          </w:rPr>
          <w:t>风险矩阵最需要跟踪的是 AI 基础设施：跨越电力约束：AI基础设施瓶颈向全球权益市场的配置与估值映射。</w:t>
        </w:r>
      </w:hyperlink>
    </w:p>
    <w:p>
      <w:pPr>
        <w:spacing w:after="140"/>
        <w:ind w:left="259" w:hanging="259"/>
      </w:pPr>
      <w:r>
        <w:rPr>
          <w:rFonts w:ascii="Calibri" w:hAnsi="Calibri" w:eastAsia="Songti SC"/>
          <w:b/>
          <w:color w:val="285B9D"/>
          <w:sz w:val="21"/>
        </w:rPr>
        <w:t xml:space="preserve">证据密度: </w:t>
      </w:r>
      <w:hyperlink r:id="rId14">
        <w:r>
          <w:rPr>
            <w:color w:val="285B9D"/>
            <w:u w:val="single"/>
            <w:rFonts w:eastAsia="Songti SC" w:ascii="Calibri" w:hAnsi="Calibri"/>
          </w:rPr>
          <w:t>宏观通胀传导 今日 168 条、近七日 1470 条，风险信号 1072 条。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FF7E6"/>
          </w:tcPr>
          <w:p>
            <w:r>
              <w:rPr>
                <w:rFonts w:ascii="Calibri" w:hAnsi="Calibri" w:eastAsia="Songti SC"/>
                <w:b/>
                <w:color w:val="7A5A00"/>
                <w:sz w:val="21"/>
              </w:rPr>
              <w:t xml:space="preserve">投资解读: </w:t>
            </w:r>
            <w:r>
              <w:rPr>
                <w:rFonts w:ascii="Calibri" w:hAnsi="Calibri" w:eastAsia="Songti SC"/>
                <w:color w:val="7C2D12"/>
                <w:sz w:val="21"/>
              </w:rPr>
              <w:t>投资含义上，本日简报更适合作为主题和风险筛选器：先看行业链雷达确认资金关注方向，再用风险矩阵排除证据不足或约束过强的交易表达。</w:t>
            </w:r>
          </w:p>
        </w:tc>
      </w:tr>
    </w:tbl>
    <w:p>
      <w:pPr>
        <w:spacing w:before="0" w:after="120" w:line="264" w:lineRule="auto"/>
      </w:pPr>
    </w:p>
    <w:p>
      <w:pPr>
        <w:pStyle w:val="Heading1"/>
      </w:pPr>
      <w:r>
        <w:t>2. 可视化仪表板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6-18-web-tren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Songti SC"/>
          <w:b w:val="0"/>
          <w:i/>
          <w:color w:val="667085"/>
          <w:sz w:val="17"/>
        </w:rPr>
        <w:t>Figure 2. Webpage snapshot of topic momentum and daily change signals.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6-18-web-chain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Songti SC"/>
          <w:b w:val="0"/>
          <w:i/>
          <w:color w:val="667085"/>
          <w:sz w:val="17"/>
        </w:rPr>
        <w:t>Figure 3. Webpage snapshot of industry-chain heat and evidence links.</w:t>
      </w:r>
    </w:p>
    <w:p>
      <w:r>
        <w:br w:type="page"/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6-18-web-risk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Songti SC"/>
          <w:b w:val="0"/>
          <w:i/>
          <w:color w:val="667085"/>
          <w:sz w:val="17"/>
        </w:rPr>
        <w:t>Figure 4. Webpage snapshot of the risk matrix and pressure-test items.</w:t>
      </w:r>
    </w:p>
    <w:p>
      <w:r>
        <w:br w:type="page"/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6-18-web-heatma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Songti SC"/>
          <w:b w:val="0"/>
          <w:i/>
          <w:color w:val="667085"/>
          <w:sz w:val="17"/>
        </w:rPr>
        <w:t>Figure 5. Webpage snapshot of analyst activity and ranked conclusions.</w:t>
      </w:r>
    </w:p>
    <w:p>
      <w:pPr>
        <w:pStyle w:val="Heading1"/>
      </w:pPr>
      <w:r>
        <w:t>3. 今日核心结论</w:t>
      </w:r>
    </w:p>
    <w:p>
      <w:pPr>
        <w:spacing w:before="0" w:after="40" w:line="264" w:lineRule="auto"/>
      </w:pPr>
      <w:r>
        <w:rPr>
          <w:rFonts w:ascii="Calibri" w:hAnsi="Calibri" w:eastAsia="Songti SC"/>
          <w:b/>
          <w:i w:val="0"/>
          <w:color w:val="0B2545"/>
          <w:sz w:val="23"/>
        </w:rPr>
        <w:t>1. 终审质量审计：AI至电网基础设施白皮书 — 2026-06-18</w:t>
      </w:r>
    </w:p>
    <w:p>
      <w:pPr>
        <w:spacing w:before="0" w:after="40" w:line="264" w:lineRule="auto"/>
      </w:pPr>
      <w:r>
        <w:rPr>
          <w:rFonts w:ascii="Calibri" w:hAnsi="Calibri" w:eastAsia="Songti SC"/>
          <w:b w:val="0"/>
          <w:i w:val="0"/>
          <w:color w:val="667085"/>
          <w:sz w:val="17"/>
        </w:rPr>
        <w:t>未识别 · AI 基础设施 · score 62.5</w:t>
      </w:r>
    </w:p>
    <w:p>
      <w:pPr>
        <w:spacing w:before="0" w:after="100" w:line="264" w:lineRule="auto"/>
      </w:pPr>
      <w:r>
        <w:rPr>
          <w:rFonts w:ascii="Calibri" w:hAnsi="Calibri" w:eastAsia="Songti SC"/>
          <w:b w:val="0"/>
          <w:i w:val="0"/>
          <w:color w:val="334155"/>
          <w:sz w:val="20"/>
        </w:rPr>
        <w:t>工作日期：2026-06-18（Asia/Singapore）。本终审 QA 对已完成的 9 张研究记录进行综合审计，覆盖 AIDD 算力需求、GPU/HBM 与机柜功率密度、电网设备稀缺、GOES 原材料套利以及西方 OEM 产能错...</w:t>
      </w:r>
    </w:p>
    <w:p>
      <w:pPr>
        <w:spacing w:before="0" w:after="160" w:line="264" w:lineRule="auto"/>
      </w:pPr>
      <w:r>
        <w:rPr>
          <w:rFonts w:ascii="Calibri" w:hAnsi="Calibri" w:eastAsia="Songti SC"/>
          <w:b w:val="0"/>
          <w:i w:val="0"/>
          <w:color w:val="667085"/>
          <w:sz w:val="17"/>
        </w:rPr>
        <w:t xml:space="preserve">Report: </w:t>
      </w:r>
      <w:hyperlink r:id="rId12">
        <w:r>
          <w:rPr>
            <w:color w:val="285B9D"/>
            <w:u w:val="single"/>
            <w:rFonts w:eastAsia="Songti SC" w:ascii="Calibri" w:hAnsi="Calibri"/>
          </w:rPr>
          <w:t>reports/archive-9906cc6fde45</w:t>
        </w:r>
      </w:hyperlink>
    </w:p>
    <w:p>
      <w:pPr>
        <w:spacing w:before="0" w:after="40" w:line="264" w:lineRule="auto"/>
      </w:pPr>
      <w:r>
        <w:rPr>
          <w:rFonts w:ascii="Calibri" w:hAnsi="Calibri" w:eastAsia="Songti SC"/>
          <w:b/>
          <w:i w:val="0"/>
          <w:color w:val="0B2545"/>
          <w:sz w:val="23"/>
        </w:rPr>
        <w:t>2. 电网互联与变压器交付瓶颈：压力测试 2026–2028 年 AI 算力电力扩张的物理极限</w:t>
      </w:r>
    </w:p>
    <w:p>
      <w:pPr>
        <w:spacing w:before="0" w:after="40" w:line="264" w:lineRule="auto"/>
      </w:pPr>
      <w:r>
        <w:rPr>
          <w:rFonts w:ascii="Calibri" w:hAnsi="Calibri" w:eastAsia="Songti SC"/>
          <w:b w:val="0"/>
          <w:i w:val="0"/>
          <w:color w:val="667085"/>
          <w:sz w:val="17"/>
        </w:rPr>
        <w:t>未识别 · 电力与电网 · score 56.2</w:t>
      </w:r>
    </w:p>
    <w:p>
      <w:pPr>
        <w:spacing w:before="0" w:after="100" w:line="264" w:lineRule="auto"/>
      </w:pPr>
      <w:r>
        <w:rPr>
          <w:rFonts w:ascii="Calibri" w:hAnsi="Calibri" w:eastAsia="Songti SC"/>
          <w:b w:val="0"/>
          <w:i w:val="0"/>
          <w:color w:val="334155"/>
          <w:sz w:val="20"/>
        </w:rPr>
        <w:t>电网互联与变压器交付瓶颈：压力测试 2026–2028 年 AI 算力电力扩张的物理极限</w:t>
      </w:r>
    </w:p>
    <w:p>
      <w:pPr>
        <w:spacing w:before="0" w:after="160" w:line="264" w:lineRule="auto"/>
      </w:pPr>
      <w:r>
        <w:rPr>
          <w:rFonts w:ascii="Calibri" w:hAnsi="Calibri" w:eastAsia="Songti SC"/>
          <w:b w:val="0"/>
          <w:i w:val="0"/>
          <w:color w:val="667085"/>
          <w:sz w:val="17"/>
        </w:rPr>
        <w:t xml:space="preserve">Report: </w:t>
      </w:r>
      <w:hyperlink r:id="rId19">
        <w:r>
          <w:rPr>
            <w:color w:val="285B9D"/>
            <w:u w:val="single"/>
            <w:rFonts w:eastAsia="Songti SC" w:ascii="Calibri" w:hAnsi="Calibri"/>
          </w:rPr>
          <w:t>reports/archive-e6af345a3ea9</w:t>
        </w:r>
      </w:hyperlink>
    </w:p>
    <w:p>
      <w:pPr>
        <w:spacing w:before="0" w:after="40" w:line="264" w:lineRule="auto"/>
      </w:pPr>
      <w:r>
        <w:rPr>
          <w:rFonts w:ascii="Calibri" w:hAnsi="Calibri" w:eastAsia="Songti SC"/>
          <w:b/>
          <w:i w:val="0"/>
          <w:color w:val="0B2545"/>
          <w:sz w:val="23"/>
        </w:rPr>
        <w:t>3. 全球取向硅钢 (GOES) 供应弹性与变压器产业链利润杠杆评估</w:t>
      </w:r>
    </w:p>
    <w:p>
      <w:pPr>
        <w:spacing w:before="0" w:after="40" w:line="264" w:lineRule="auto"/>
      </w:pPr>
      <w:r>
        <w:rPr>
          <w:rFonts w:ascii="Calibri" w:hAnsi="Calibri" w:eastAsia="Songti SC"/>
          <w:b w:val="0"/>
          <w:i w:val="0"/>
          <w:color w:val="667085"/>
          <w:sz w:val="17"/>
        </w:rPr>
        <w:t>未识别 · 工业供给瓶颈 · score 54.7</w:t>
      </w:r>
    </w:p>
    <w:p>
      <w:pPr>
        <w:spacing w:before="0" w:after="100" w:line="264" w:lineRule="auto"/>
      </w:pPr>
      <w:r>
        <w:rPr>
          <w:rFonts w:ascii="Calibri" w:hAnsi="Calibri" w:eastAsia="Songti SC"/>
          <w:b w:val="0"/>
          <w:i w:val="0"/>
          <w:color w:val="334155"/>
          <w:sz w:val="20"/>
        </w:rPr>
        <w:t>全球取向硅钢 (GOES) 供应弹性与变压器产业链利润杠杆评估 报告日期： 2026-06-18 分析师： 材料行业分析师 (Materials Analyst) 基本立场： 支持前序研究关于“原材料成本对电力设备出口链毛利...</w:t>
      </w:r>
    </w:p>
    <w:p>
      <w:pPr>
        <w:spacing w:before="0" w:after="160" w:line="264" w:lineRule="auto"/>
      </w:pPr>
      <w:r>
        <w:rPr>
          <w:rFonts w:ascii="Calibri" w:hAnsi="Calibri" w:eastAsia="Songti SC"/>
          <w:b w:val="0"/>
          <w:i w:val="0"/>
          <w:color w:val="667085"/>
          <w:sz w:val="17"/>
        </w:rPr>
        <w:t xml:space="preserve">Report: </w:t>
      </w:r>
      <w:hyperlink r:id="rId20">
        <w:r>
          <w:rPr>
            <w:color w:val="285B9D"/>
            <w:u w:val="single"/>
            <w:rFonts w:eastAsia="Songti SC" w:ascii="Calibri" w:hAnsi="Calibri"/>
          </w:rPr>
          <w:t>reports/archive-1a4b2ba30aef</w:t>
        </w:r>
      </w:hyperlink>
    </w:p>
    <w:p>
      <w:pPr>
        <w:spacing w:before="0" w:after="40" w:line="264" w:lineRule="auto"/>
      </w:pPr>
      <w:r>
        <w:rPr>
          <w:rFonts w:ascii="Calibri" w:hAnsi="Calibri" w:eastAsia="Songti SC"/>
          <w:b/>
          <w:i w:val="0"/>
          <w:color w:val="0B2545"/>
          <w:sz w:val="23"/>
        </w:rPr>
        <w:t>4. prior research notes· 半导体分析师研究报告</w:t>
      </w:r>
    </w:p>
    <w:p>
      <w:pPr>
        <w:spacing w:before="0" w:after="40" w:line="264" w:lineRule="auto"/>
      </w:pPr>
      <w:r>
        <w:rPr>
          <w:rFonts w:ascii="Calibri" w:hAnsi="Calibri" w:eastAsia="Songti SC"/>
          <w:b w:val="0"/>
          <w:i w:val="0"/>
          <w:color w:val="667085"/>
          <w:sz w:val="17"/>
        </w:rPr>
        <w:t>未识别 · AI 基础设施 · score 50.5</w:t>
      </w:r>
    </w:p>
    <w:p>
      <w:pPr>
        <w:spacing w:before="0" w:after="100" w:line="264" w:lineRule="auto"/>
      </w:pPr>
      <w:r>
        <w:rPr>
          <w:rFonts w:ascii="Calibri" w:hAnsi="Calibri" w:eastAsia="Songti SC"/>
          <w:b w:val="0"/>
          <w:i w:val="0"/>
          <w:color w:val="334155"/>
          <w:sz w:val="20"/>
        </w:rPr>
        <w:t>工作日期：2026-06-18（Asia/Singapore） - 板块：半导体（设计 / 制造 / 设备 / 材料 / 先进封装） - 立场： Support（支持） — 在AI算力强需求与出口管制持续收紧的背景下，国产设备/材料的...</w:t>
      </w:r>
    </w:p>
    <w:p>
      <w:pPr>
        <w:spacing w:before="0" w:after="160" w:line="264" w:lineRule="auto"/>
      </w:pPr>
      <w:r>
        <w:rPr>
          <w:rFonts w:ascii="Calibri" w:hAnsi="Calibri" w:eastAsia="Songti SC"/>
          <w:b w:val="0"/>
          <w:i w:val="0"/>
          <w:color w:val="667085"/>
          <w:sz w:val="17"/>
        </w:rPr>
        <w:t xml:space="preserve">Report: </w:t>
      </w:r>
      <w:hyperlink r:id="rId21">
        <w:r>
          <w:rPr>
            <w:color w:val="285B9D"/>
            <w:u w:val="single"/>
            <w:rFonts w:eastAsia="Songti SC" w:ascii="Calibri" w:hAnsi="Calibri"/>
          </w:rPr>
          <w:t>reports/archive-8c9df85b29e8</w:t>
        </w:r>
      </w:hyperlink>
    </w:p>
    <w:p>
      <w:pPr>
        <w:spacing w:before="0" w:after="40" w:line="264" w:lineRule="auto"/>
      </w:pPr>
      <w:r>
        <w:rPr>
          <w:rFonts w:ascii="Calibri" w:hAnsi="Calibri" w:eastAsia="Songti SC"/>
          <w:b/>
          <w:i w:val="0"/>
          <w:color w:val="0B2545"/>
          <w:sz w:val="23"/>
        </w:rPr>
        <w:t>5. 2026-06-18 压力测试：AI 算力经济学——能源成本、TCO 结构，及其对芯片与设备 capex 效率的反向...</w:t>
      </w:r>
    </w:p>
    <w:p>
      <w:pPr>
        <w:spacing w:before="0" w:after="40" w:line="264" w:lineRule="auto"/>
      </w:pPr>
      <w:r>
        <w:rPr>
          <w:rFonts w:ascii="Calibri" w:hAnsi="Calibri" w:eastAsia="Songti SC"/>
          <w:b w:val="0"/>
          <w:i w:val="0"/>
          <w:color w:val="667085"/>
          <w:sz w:val="17"/>
        </w:rPr>
        <w:t>未识别 · AI 基础设施 · score 50.3</w:t>
      </w:r>
    </w:p>
    <w:p>
      <w:pPr>
        <w:spacing w:before="0" w:after="100" w:line="264" w:lineRule="auto"/>
      </w:pPr>
      <w:r>
        <w:rPr>
          <w:rFonts w:ascii="Calibri" w:hAnsi="Calibri" w:eastAsia="Songti SC"/>
          <w:b w:val="0"/>
          <w:i w:val="0"/>
          <w:color w:val="334155"/>
          <w:sz w:val="20"/>
        </w:rPr>
        <w:t>2026-06-18 压力测试：AI 算力经济学——能源成本、TCO 结构，及其对芯片与设备 capex 效率的反向传导</w:t>
      </w:r>
    </w:p>
    <w:p>
      <w:pPr>
        <w:spacing w:before="0" w:after="160" w:line="264" w:lineRule="auto"/>
      </w:pPr>
      <w:r>
        <w:rPr>
          <w:rFonts w:ascii="Calibri" w:hAnsi="Calibri" w:eastAsia="Songti SC"/>
          <w:b w:val="0"/>
          <w:i w:val="0"/>
          <w:color w:val="667085"/>
          <w:sz w:val="17"/>
        </w:rPr>
        <w:t xml:space="preserve">Report: </w:t>
      </w:r>
      <w:hyperlink r:id="rId22">
        <w:r>
          <w:rPr>
            <w:color w:val="285B9D"/>
            <w:u w:val="single"/>
            <w:rFonts w:eastAsia="Songti SC" w:ascii="Calibri" w:hAnsi="Calibri"/>
          </w:rPr>
          <w:t>reports/archive-ff9ba4318e3f</w:t>
        </w:r>
      </w:hyperlink>
    </w:p>
    <w:p>
      <w:pPr>
        <w:spacing w:before="0" w:after="40" w:line="264" w:lineRule="auto"/>
      </w:pPr>
      <w:r>
        <w:rPr>
          <w:rFonts w:ascii="Calibri" w:hAnsi="Calibri" w:eastAsia="Songti SC"/>
          <w:b/>
          <w:i w:val="0"/>
          <w:color w:val="0B2545"/>
          <w:sz w:val="23"/>
        </w:rPr>
        <w:t>6. AIDD 需求驱动下的先进封装与 HBM 硬件规格演进</w:t>
      </w:r>
    </w:p>
    <w:p>
      <w:pPr>
        <w:spacing w:before="0" w:after="40" w:line="264" w:lineRule="auto"/>
      </w:pPr>
      <w:r>
        <w:rPr>
          <w:rFonts w:ascii="Calibri" w:hAnsi="Calibri" w:eastAsia="Songti SC"/>
          <w:b w:val="0"/>
          <w:i w:val="0"/>
          <w:color w:val="667085"/>
          <w:sz w:val="17"/>
        </w:rPr>
        <w:t>未识别 · 半导体与存储 · score 50.1</w:t>
      </w:r>
    </w:p>
    <w:p>
      <w:pPr>
        <w:spacing w:before="0" w:after="100" w:line="264" w:lineRule="auto"/>
      </w:pPr>
      <w:r>
        <w:rPr>
          <w:rFonts w:ascii="Calibri" w:hAnsi="Calibri" w:eastAsia="Songti SC"/>
          <w:b w:val="0"/>
          <w:i w:val="0"/>
          <w:color w:val="334155"/>
          <w:sz w:val="20"/>
        </w:rPr>
        <w:t>AIDD 需求驱动下的先进封装与 HBM 硬件规格演进 - 分析师: 半导体分析师 (semiconductors-analyst) - 立场: support（支持 prior research notes的硬件外延思路，并对 HBM/封装做技术瓶颈定位）...</w:t>
      </w:r>
    </w:p>
    <w:p>
      <w:pPr>
        <w:spacing w:before="0" w:after="160" w:line="264" w:lineRule="auto"/>
      </w:pPr>
      <w:r>
        <w:rPr>
          <w:rFonts w:ascii="Calibri" w:hAnsi="Calibri" w:eastAsia="Songti SC"/>
          <w:b w:val="0"/>
          <w:i w:val="0"/>
          <w:color w:val="667085"/>
          <w:sz w:val="17"/>
        </w:rPr>
        <w:t xml:space="preserve">Report: </w:t>
      </w:r>
      <w:hyperlink r:id="rId23">
        <w:r>
          <w:rPr>
            <w:color w:val="285B9D"/>
            <w:u w:val="single"/>
            <w:rFonts w:eastAsia="Songti SC" w:ascii="Calibri" w:hAnsi="Calibri"/>
          </w:rPr>
          <w:t>reports/archive-055460301258</w:t>
        </w:r>
      </w:hyperlink>
    </w:p>
    <w:p>
      <w:pPr>
        <w:pStyle w:val="Heading1"/>
      </w:pPr>
      <w:r>
        <w:t>4. 重点跟踪事项</w:t>
      </w:r>
    </w:p>
    <w:p>
      <w:pPr>
        <w:spacing w:before="0" w:after="40" w:line="264" w:lineRule="auto"/>
      </w:pPr>
      <w:r>
        <w:rPr>
          <w:rFonts w:ascii="Calibri" w:hAnsi="Calibri" w:eastAsia="Songti SC"/>
          <w:b/>
          <w:i w:val="0"/>
          <w:color w:val="0B2545"/>
          <w:sz w:val="22"/>
        </w:rPr>
        <w:t>跨越电力约束：AI基础设施瓶颈向全球权益市场的配置与估值映射</w:t>
      </w:r>
    </w:p>
    <w:p>
      <w:pPr>
        <w:spacing w:before="0" w:after="60" w:line="264" w:lineRule="auto"/>
      </w:pPr>
      <w:r>
        <w:rPr>
          <w:rFonts w:ascii="Calibri" w:hAnsi="Calibri" w:eastAsia="Songti SC"/>
          <w:b w:val="0"/>
          <w:i w:val="0"/>
          <w:color w:val="334155"/>
          <w:sz w:val="20"/>
        </w:rPr>
        <w:t>AI 基础设施，影响 5 / 概率 5</w:t>
      </w:r>
    </w:p>
    <w:p>
      <w:pPr>
        <w:spacing w:before="0" w:after="160" w:line="264" w:lineRule="auto"/>
      </w:pPr>
      <w:r>
        <w:rPr>
          <w:rFonts w:ascii="Calibri" w:hAnsi="Calibri" w:eastAsia="Songti SC"/>
          <w:b w:val="0"/>
          <w:i w:val="0"/>
          <w:color w:val="667085"/>
          <w:sz w:val="17"/>
        </w:rPr>
        <w:t xml:space="preserve">Report: </w:t>
      </w:r>
      <w:hyperlink r:id="rId13">
        <w:r>
          <w:rPr>
            <w:color w:val="285B9D"/>
            <w:u w:val="single"/>
            <w:rFonts w:eastAsia="Songti SC" w:ascii="Calibri" w:hAnsi="Calibri"/>
          </w:rPr>
          <w:t>reports/archive-6984a39e382c</w:t>
        </w:r>
      </w:hyperlink>
    </w:p>
    <w:p>
      <w:pPr>
        <w:spacing w:before="0" w:after="40" w:line="264" w:lineRule="auto"/>
      </w:pPr>
      <w:r>
        <w:rPr>
          <w:rFonts w:ascii="Calibri" w:hAnsi="Calibri" w:eastAsia="Songti SC"/>
          <w:b/>
          <w:i w:val="0"/>
          <w:color w:val="0B2545"/>
          <w:sz w:val="22"/>
        </w:rPr>
        <w:t>终审质量审计：AI至电网基础设施白皮书 — 2026-06-18</w:t>
      </w:r>
    </w:p>
    <w:p>
      <w:pPr>
        <w:spacing w:before="0" w:after="60" w:line="264" w:lineRule="auto"/>
      </w:pPr>
      <w:r>
        <w:rPr>
          <w:rFonts w:ascii="Calibri" w:hAnsi="Calibri" w:eastAsia="Songti SC"/>
          <w:b w:val="0"/>
          <w:i w:val="0"/>
          <w:color w:val="334155"/>
          <w:sz w:val="20"/>
        </w:rPr>
        <w:t>AI 基础设施，影响 5 / 概率 1</w:t>
      </w:r>
    </w:p>
    <w:p>
      <w:pPr>
        <w:spacing w:before="0" w:after="160" w:line="264" w:lineRule="auto"/>
      </w:pPr>
      <w:r>
        <w:rPr>
          <w:rFonts w:ascii="Calibri" w:hAnsi="Calibri" w:eastAsia="Songti SC"/>
          <w:b w:val="0"/>
          <w:i w:val="0"/>
          <w:color w:val="667085"/>
          <w:sz w:val="17"/>
        </w:rPr>
        <w:t xml:space="preserve">Report: </w:t>
      </w:r>
      <w:hyperlink r:id="rId12">
        <w:r>
          <w:rPr>
            <w:color w:val="285B9D"/>
            <w:u w:val="single"/>
            <w:rFonts w:eastAsia="Songti SC" w:ascii="Calibri" w:hAnsi="Calibri"/>
          </w:rPr>
          <w:t>reports/archive-9906cc6fde45</w:t>
        </w:r>
      </w:hyperlink>
    </w:p>
    <w:p>
      <w:pPr>
        <w:spacing w:before="0" w:after="40" w:line="264" w:lineRule="auto"/>
      </w:pPr>
      <w:r>
        <w:rPr>
          <w:rFonts w:ascii="Calibri" w:hAnsi="Calibri" w:eastAsia="Songti SC"/>
          <w:b/>
          <w:i w:val="0"/>
          <w:color w:val="0B2545"/>
          <w:sz w:val="22"/>
        </w:rPr>
        <w:t>电网设备供应链瓶颈：变压器及核心部件交期压力测试</w:t>
      </w:r>
    </w:p>
    <w:p>
      <w:pPr>
        <w:spacing w:before="0" w:after="60" w:line="264" w:lineRule="auto"/>
      </w:pPr>
      <w:r>
        <w:rPr>
          <w:rFonts w:ascii="Calibri" w:hAnsi="Calibri" w:eastAsia="Songti SC"/>
          <w:b w:val="0"/>
          <w:i w:val="0"/>
          <w:color w:val="334155"/>
          <w:sz w:val="20"/>
        </w:rPr>
        <w:t>工业供给瓶颈，影响 5 / 概率 5</w:t>
      </w:r>
    </w:p>
    <w:p>
      <w:pPr>
        <w:spacing w:before="0" w:after="160" w:line="264" w:lineRule="auto"/>
      </w:pPr>
      <w:r>
        <w:rPr>
          <w:rFonts w:ascii="Calibri" w:hAnsi="Calibri" w:eastAsia="Songti SC"/>
          <w:b w:val="0"/>
          <w:i w:val="0"/>
          <w:color w:val="667085"/>
          <w:sz w:val="17"/>
        </w:rPr>
        <w:t xml:space="preserve">Report: </w:t>
      </w:r>
      <w:hyperlink r:id="rId24">
        <w:r>
          <w:rPr>
            <w:color w:val="285B9D"/>
            <w:u w:val="single"/>
            <w:rFonts w:eastAsia="Songti SC" w:ascii="Calibri" w:hAnsi="Calibri"/>
          </w:rPr>
          <w:t>reports/archive-6921ecb4fc86</w:t>
        </w:r>
      </w:hyperlink>
    </w:p>
    <w:p>
      <w:pPr>
        <w:pStyle w:val="Heading1"/>
      </w:pPr>
      <w:r>
        <w:t>5. 证据表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720"/>
        <w:gridCol w:w="1560"/>
        <w:gridCol w:w="1680"/>
        <w:gridCol w:w="900"/>
        <w:gridCol w:w="1500"/>
      </w:tblGrid>
      <w:tr>
        <w:tc>
          <w:tcPr>
            <w:tcW w:type="dxa" w:w="372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475569"/>
                <w:sz w:val="18"/>
              </w:rPr>
              <w:t>报告</w:t>
            </w:r>
          </w:p>
        </w:tc>
        <w:tc>
          <w:tcPr>
            <w:tcW w:type="dxa" w:w="156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475569"/>
                <w:sz w:val="18"/>
              </w:rPr>
              <w:t>分析师</w:t>
            </w:r>
          </w:p>
        </w:tc>
        <w:tc>
          <w:tcPr>
            <w:tcW w:type="dxa" w:w="168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475569"/>
                <w:sz w:val="18"/>
              </w:rPr>
              <w:t>行业链</w:t>
            </w:r>
          </w:p>
        </w:tc>
        <w:tc>
          <w:tcPr>
            <w:tcW w:type="dxa" w:w="90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475569"/>
                <w:sz w:val="18"/>
              </w:rPr>
              <w:t>评分</w:t>
            </w:r>
          </w:p>
        </w:tc>
        <w:tc>
          <w:tcPr>
            <w:tcW w:type="dxa" w:w="150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475569"/>
                <w:sz w:val="18"/>
              </w:rPr>
              <w:t>风险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7"/>
              </w:rPr>
              <w:t>终审质量审计：AI至电网基础设施白皮书 — 2026-06-18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111827"/>
                <w:sz w:val="17"/>
              </w:rPr>
              <w:t>62.5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常规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7"/>
              </w:rPr>
              <w:t>电网互联与变压器交付瓶颈：压力测试 2026–2028 年 AI 算力电力扩张的物理极限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电力与电网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111827"/>
                <w:sz w:val="17"/>
              </w:rPr>
              <w:t>56.2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风险 3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7"/>
              </w:rPr>
              <w:t>全球取向硅钢 (GOES) 供应弹性与变压器产业链利润杠杆评估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工业供给瓶颈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111827"/>
                <w:sz w:val="17"/>
              </w:rPr>
              <w:t>54.7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7"/>
              </w:rPr>
              <w:t>prior research notes· 半导体分析师研究报告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111827"/>
                <w:sz w:val="17"/>
              </w:rPr>
              <w:t>50.5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常规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7"/>
              </w:rPr>
              <w:t>2026-06-18 压力测试：AI 算力经济学——能源成本、TCO 结构，及其对芯片与设备 capex 效率的反向...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111827"/>
                <w:sz w:val="17"/>
              </w:rPr>
              <w:t>50.3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7"/>
              </w:rPr>
              <w:t>AIDD 需求驱动下的先进封装与 HBM 硬件规格演进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半导体与存储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111827"/>
                <w:sz w:val="17"/>
              </w:rPr>
              <w:t>50.1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7"/>
              </w:rPr>
              <w:t>西方电力设备巨头（GE, Siemens, Hitachi）的产能释放与订单错配压力评估：对电网瓶颈的压力测试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电力与电网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111827"/>
                <w:sz w:val="17"/>
              </w:rPr>
              <w:t>49.8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7"/>
              </w:rPr>
              <w:t>能源HBM4 / NVL72 级别部署的电力密度与电网压力测试 — 2026-06-18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111827"/>
                <w:sz w:val="17"/>
              </w:rPr>
              <w:t>49.4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7"/>
              </w:rPr>
              <w:t>压力测试：发电侧扩容能否真正填平AI电力缺口？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电力与电网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111827"/>
                <w:sz w:val="17"/>
              </w:rPr>
              <w:t>49.4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7"/>
              </w:rPr>
              <w:t>国内 AI 算力扩张的电力与电网瓶颈评估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111827"/>
                <w:sz w:val="17"/>
              </w:rPr>
              <w:t>48.9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7"/>
              </w:rPr>
              <w:t>AI算力电网网架物理约束与中下游估值杠杆压力测试报告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111827"/>
                <w:sz w:val="17"/>
              </w:rPr>
              <w:t>48.2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7"/>
              </w:rPr>
              <w:t>AI基础设施定价权迁移：从芯片稀缺转向电力与电网瓶颈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电力与电网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111827"/>
                <w:sz w:val="17"/>
              </w:rPr>
              <w:t>47.7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7"/>
              </w:rPr>
              <w:t>变压器与电网瓶颈压力下，超大规模云厂商（Hyperscalers）的资本开支重心与数据中心部署策略演变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111827"/>
                <w:sz w:val="17"/>
              </w:rPr>
              <w:t>47.6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7"/>
              </w:rPr>
              <w:t>AI基础设施2026-06-18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111827"/>
                <w:sz w:val="17"/>
              </w:rPr>
              <w:t>47.4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常规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7"/>
              </w:rPr>
              <w:t>2026-06-18 全球宏观研究记录 05：全球电力设备稀缺、中国 UHV 出口与 AI 算力电力约束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111827"/>
                <w:sz w:val="17"/>
              </w:rPr>
              <w:t>47.3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7"/>
              </w:rPr>
              <w:t>中国 AI 算力集群扩容：电网容量与能源供应瓶颈压力测试报告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111827"/>
                <w:sz w:val="17"/>
              </w:rPr>
              <w:t>47.2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7"/>
              </w:rPr>
              <w:t>半导体压力测试：芯片能效与先进封装能否突破“通电围墙”？— 2026-06-18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半导体与存储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111827"/>
                <w:sz w:val="17"/>
              </w:rPr>
              <w:t>46.8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7"/>
              </w:rPr>
              <w:t>AI 能源供应“弹性”评估：可再生能源并网对缓解算力缺口的有效性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111827"/>
                <w:sz w:val="17"/>
              </w:rPr>
              <w:t>46.7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风险 1</w:t>
            </w:r>
          </w:p>
        </w:tc>
      </w:tr>
    </w:tbl>
    <w:p>
      <w:pPr>
        <w:spacing w:before="0" w:after="160" w:line="264" w:lineRule="auto"/>
      </w:pPr>
      <w:r>
        <w:rPr>
          <w:rFonts w:ascii="Calibri" w:hAnsi="Calibri" w:eastAsia="Songti SC"/>
          <w:b w:val="0"/>
          <w:i/>
          <w:color w:val="667085"/>
          <w:sz w:val="17"/>
        </w:rPr>
        <w:t>Table 1. Evidence table excerpt. Full evidence remains available in the interactive daily brief.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Songti SC"/>
        <w:color w:val="667085"/>
        <w:sz w:val="17"/>
      </w:rPr>
      <w:t>Generated from local AI Institute archive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 w:eastAsia="Songti SC"/>
        <w:color w:val="667085"/>
        <w:sz w:val="18"/>
      </w:rPr>
      <w:t>AI Institute Daily Investor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Songti SC"/>
      <w:b w:val="0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Songti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Songti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Songti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Songti SC"/>
      <w:b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Songti SC"/>
      <w:b w:val="0"/>
      <w:i/>
      <w:iCs/>
      <w:color w:val="475569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reports/archive-9906cc6fde45" TargetMode="External"/><Relationship Id="rId13" Type="http://schemas.openxmlformats.org/officeDocument/2006/relationships/hyperlink" Target="reports/archive-6984a39e382c" TargetMode="External"/><Relationship Id="rId14" Type="http://schemas.openxmlformats.org/officeDocument/2006/relationships/hyperlink" Target="reports/archive-9fde81a160af" TargetMode="External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hyperlink" Target="reports/archive-e6af345a3ea9" TargetMode="External"/><Relationship Id="rId20" Type="http://schemas.openxmlformats.org/officeDocument/2006/relationships/hyperlink" Target="reports/archive-1a4b2ba30aef" TargetMode="External"/><Relationship Id="rId21" Type="http://schemas.openxmlformats.org/officeDocument/2006/relationships/hyperlink" Target="reports/archive-8c9df85b29e8" TargetMode="External"/><Relationship Id="rId22" Type="http://schemas.openxmlformats.org/officeDocument/2006/relationships/hyperlink" Target="reports/archive-ff9ba4318e3f" TargetMode="External"/><Relationship Id="rId23" Type="http://schemas.openxmlformats.org/officeDocument/2006/relationships/hyperlink" Target="reports/archive-055460301258" TargetMode="External"/><Relationship Id="rId24" Type="http://schemas.openxmlformats.org/officeDocument/2006/relationships/hyperlink" Target="reports/archive-6921ecb4fc8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Institute Daily Brief 2026-06-18</dc:title>
  <dc:subject>Daily investor research brief</dc:subject>
  <dc:creator>AI Institute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