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Arial Unicode MS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Arial Unicode MS"/>
          <w:b w:val="0"/>
          <w:i w:val="0"/>
        </w:rPr>
        <w:t>2026-08-17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Arial Unicode MS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2"/>
        </w:rPr>
        <w:t>2026-08-17 共纳入 70 篇中文研究结果，覆盖 0 位活跃分析师和 4 条主要行业链，较 2026-08-16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Arial Unicode MS"/>
                <w:b/>
                <w:color w:val="285B9D"/>
                <w:sz w:val="36"/>
              </w:rPr>
              <w:t>70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Arial Unicode MS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Arial Unicode MS"/>
                <w:b/>
                <w:color w:val="A8731B"/>
                <w:sz w:val="36"/>
              </w:rPr>
              <w:t>4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Arial Unicode MS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7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套息交易头寸与期权隐含波动率 vs. 美联储/欧央行/日央行分化交易 是今日最高权重结论，核心证据来自 未识别，关联 宏观通胀传导。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变化信号: </w:t>
      </w:r>
      <w:r>
        <w:rPr>
          <w:rFonts w:ascii="Calibri" w:hAnsi="Calibri" w:eastAsia="Arial Unicode MS"/>
          <w:color w:val="111827"/>
          <w:sz w:val="21"/>
        </w:rPr>
        <w:t>通胀 今日 降温，当日计数 55，前一日计数 251。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风险矩阵最需要跟踪的是 AI 基础设施：AI基础设施电力瓶颈与电网设备订单能见度 — 2026-08-11。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Arial Unicode MS" w:ascii="Calibri" w:hAnsi="Calibri"/>
          </w:rPr>
          <w:t>宏观通胀传导 今日 55 条、近七日 1765 条，风险信号 1116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Arial Unicode MS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Arial Unicode MS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7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7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7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7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1. 套息交易头寸与期权隐含波动率 vs. 美联储/欧央行/日央行分化交易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44.2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套息交易头寸与期权隐含波动率 vs. 美联储/欧央行/日央行分化交易 工作日期:2026-08-17(新加坡时区) 分析师:全球宏观分析师(交棒外汇策略师研究记录) 立场:压力测试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reports/archive-978c3291d263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2. prior research notes— 将三闸门框架嵌入中国CPI/PPI月度nowcast模型：量化两种情形下食品CPI与PP...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42.3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prior research notes— 将三闸门框架嵌入中国CPI/PPI月度nowcast模型：量化两种情形下食品CPI与PPI原材料分项的路径差异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Arial Unicode MS" w:ascii="Calibri" w:hAnsi="Calibri"/>
          </w:rPr>
          <w:t>reports/archive-f3510e139f95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3. 研究记录 — 首席策略师｜最终组合权重锁定：创新药/CXO、AI硬件/CPO、现金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41.5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研究记录 — 首席策略师｜最终组合权重锁定：创新药/CXO、AI硬件/CPO、现金 日期：2026-08-17（新加坡时区，研究所工作日期） 立场：压力测试（stress-test）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Arial Unicode MS" w:ascii="Calibri" w:hAnsi="Calibri"/>
          </w:rPr>
          <w:t>reports/archive-91d759710061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4. 中国玉米进口配额与自给自足策略压力测试 — 2026-08-17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41.5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截至研究所工作日 2026-08-17，我对研究记录1的判断做压力测试，而不是推翻：CBOT 玉米已进入更高交易区间，但尚未具备由中国需求驱动的趋势性突破条件。2025 年中国玉米进口下行是真实的，不过...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Arial Unicode MS" w:ascii="Calibri" w:hAnsi="Calibri"/>
          </w:rPr>
          <w:t>reports/archive-4866c44dcdf5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5. 1. 问题框定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40.8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工作日期：2026-08-17（新加坡时区，机构锚定日期） 分析师： 能源行业分析师 · 立场： stress-test（压力测试）· 研究记录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Arial Unicode MS" w:ascii="Calibri" w:hAnsi="Calibri"/>
          </w:rPr>
          <w:t>reports/archive-4a003222a238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6. 9月中国成品油内需验证：尚不能升级为内需驱动 - 2026-08-17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40.4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截至研究所工作日 2026-08-17，题目要求的“9月数据发布后”验证尚无法执行，因为相对 2026-08-17，2026年9月汽油、柴油、航煤、库存和出口实绩尚未发布 [S0]。因此本报告综合 prior research n...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Arial Unicode MS" w:ascii="Calibri" w:hAnsi="Calibri"/>
          </w:rPr>
          <w:t>reports/archive-d997943c72cf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AI基础设施电力瓶颈与电网设备订单能见度 — 2026-08-11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 基础设施，影响 5 / 概率 2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reports/archive-3f4977918957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半导体瓶颈环节：订单与毛利率验证 (2026-08-12)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宏观通胀传导，影响 5 / 概率 3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Arial Unicode MS" w:ascii="Calibri" w:hAnsi="Calibri"/>
          </w:rPr>
          <w:t>reports/archive-4222e623d105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prior research notes— AI 数据中心电力与电网设备瓶颈：2027 年 capex run-rate 能否被 powered-...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 基础设施，影响 5 / 概率 2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Arial Unicode MS" w:ascii="Calibri" w:hAnsi="Calibri"/>
          </w:rPr>
          <w:t>reports/archive-b4ec8ef3430e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套息交易头寸与期权隐含波动率 vs. 美联储/欧央行/日央行分化交易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44.2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prior research notes— 将三闸门框架嵌入中国CPI/PPI月度nowcast模型：量化两种情形下食品CPI与PP...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研究记录 — 首席策略师｜最终组合权重锁定：创新药/CXO、AI硬件/CPO、现金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中国玉米进口配额与自给自足策略压力测试 — 2026-08-17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1. 问题框定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9月中国成品油内需验证：尚不能升级为内需驱动 - 2026-08-17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中国成品油终端需求与库存验证 — 2026-08-17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中国粮食自给自足月度信号阈值校准 — 2026-08-17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39.9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Recent analyst reports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39.9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A股盘前交易计划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39.9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研究记录 — 越南原产合规升级对盛泰、健盛毛利率与资本开支的影响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39.7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prior research notes— OVX偏斜倒挂下的布伦特/XLE尾部对冲期权结构设计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39.6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今日美股板块轮动日报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39.5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首席风控官盘前风控监测与预警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39.4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中国宏观与政策晨报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39.3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AI硬件/CPO资金流可持续性压力测试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38.8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§1 THESIS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38.5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研究院每日诊断报告 — 2026-08-17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38.4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Arial Unicode MS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Arial Unicode MS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Arial Unicode MS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978c3291d263" TargetMode="External"/><Relationship Id="rId13" Type="http://schemas.openxmlformats.org/officeDocument/2006/relationships/hyperlink" Target="reports/archive-3f4977918957" TargetMode="External"/><Relationship Id="rId14" Type="http://schemas.openxmlformats.org/officeDocument/2006/relationships/hyperlink" Target="reports/archive-37ac358257bd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f3510e139f95" TargetMode="External"/><Relationship Id="rId20" Type="http://schemas.openxmlformats.org/officeDocument/2006/relationships/hyperlink" Target="reports/archive-91d759710061" TargetMode="External"/><Relationship Id="rId21" Type="http://schemas.openxmlformats.org/officeDocument/2006/relationships/hyperlink" Target="reports/archive-4866c44dcdf5" TargetMode="External"/><Relationship Id="rId22" Type="http://schemas.openxmlformats.org/officeDocument/2006/relationships/hyperlink" Target="reports/archive-4a003222a238" TargetMode="External"/><Relationship Id="rId23" Type="http://schemas.openxmlformats.org/officeDocument/2006/relationships/hyperlink" Target="reports/archive-d997943c72cf" TargetMode="External"/><Relationship Id="rId24" Type="http://schemas.openxmlformats.org/officeDocument/2006/relationships/hyperlink" Target="reports/archive-4222e623d105" TargetMode="External"/><Relationship Id="rId25" Type="http://schemas.openxmlformats.org/officeDocument/2006/relationships/hyperlink" Target="reports/archive-b4ec8ef3430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2026-08-17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