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2026-08-18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2026-08-18 共纳入 1 篇中文研究结果，覆盖 0 位活跃分析师和 2 条主要行业链，较 2026-08-17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SQM 近端催化剂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通胀 今日 降温，当日计数 1，前一日计数 173。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宏观通胀传导：半导体瓶颈环节：订单与毛利率验证 (2026-08-12)。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2">
        <w:r>
          <w:rPr>
            <w:color w:val="285B9D"/>
            <w:u w:val="single"/>
            <w:rFonts w:eastAsia="Songti SC" w:ascii="Calibri" w:hAnsi="Calibri"/>
          </w:rPr>
          <w:t>宏观通胀传导 今日 1 条、近七日 1588 条，风险信号 991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8-web-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8-web-cha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8-web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8-web-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SQM 近端催化剂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36.6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截至本报告写作日，SQM 的近端催化剂主线是“锂价与销量修复 + Codelco/SQM 合资落地后的 Salar Futuro 许可进展 + 碘和 SPN 业务的供给偏紧”。SQM 2026 Q1 收入为 US$1,760.1 million、同比增...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reports/archive-381a5c58628d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半导体瓶颈环节：订单与毛利率验证 (2026-08-12)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宏观通胀传导，影响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reports/archive-4222e623d105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prior research notes— AI 数据中心电力与电网设备瓶颈：2027 年 capex run-rate 能否被 powered-...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Songti SC" w:ascii="Calibri" w:hAnsi="Calibri"/>
          </w:rPr>
          <w:t>reports/archive-b4ec8ef3430e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工业制造压力测试：变压器与燃气轮机OEM扩产能否在2028年前压缩AI电力设备交期？（截至2026-08-16...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2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reports/archive-497a81b51eee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SQM 近端催化剂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36.6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381a5c58628d" TargetMode="External"/><Relationship Id="rId13" Type="http://schemas.openxmlformats.org/officeDocument/2006/relationships/hyperlink" Target="reports/archive-4222e623d105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reports/archive-b4ec8ef3430e" TargetMode="External"/><Relationship Id="rId19" Type="http://schemas.openxmlformats.org/officeDocument/2006/relationships/hyperlink" Target="reports/archive-497a81b51e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