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iragino Sans GB"/>
          <w:b/>
          <w:i w:val="0"/>
          <w:color w:val="285B9D"/>
          <w:sz w:val="20"/>
        </w:rPr>
        <w:t>AI Institute</w:t>
      </w:r>
    </w:p>
    <w:p>
      <w:pPr>
        <w:pStyle w:val="Title"/>
        <w:spacing w:before="0" w:after="80" w:line="264" w:lineRule="auto"/>
      </w:pPr>
      <w:r>
        <w:rPr>
          <w:rFonts w:ascii="Calibri" w:hAnsi="Calibri" w:eastAsia="Hiragino Sans GB"/>
          <w:b w:val="0"/>
          <w:i w:val="0"/>
        </w:rPr>
        <w:t>每日投资研究简报</w:t>
      </w:r>
    </w:p>
    <w:p>
      <w:pPr>
        <w:pStyle w:val="Subtitle"/>
        <w:spacing w:before="0" w:after="240" w:line="264" w:lineRule="auto"/>
      </w:pPr>
      <w:r>
        <w:rPr>
          <w:rFonts w:ascii="Calibri" w:hAnsi="Calibri" w:eastAsia="Hiragino Sans GB"/>
          <w:b w:val="0"/>
          <w:i w:val="0"/>
        </w:rPr>
        <w:t>2026-06-14 · webpage screenshot DOCX edition</w:t>
      </w:r>
    </w:p>
    <w:p>
      <w:pPr>
        <w:spacing w:before="0" w:after="160" w:line="264" w:lineRule="auto"/>
      </w:pPr>
      <w:r>
        <w:rPr>
          <w:rFonts w:ascii="Calibri" w:hAnsi="Calibri" w:eastAsia="Hiragino Sans GB"/>
          <w:b/>
          <w:i w:val="0"/>
          <w:color w:val="0B2545"/>
          <w:sz w:val="34"/>
        </w:rPr>
        <w:t>宏观通胀传导仍是今日主线，AI 基础设施提供第二层验证。</w:t>
      </w:r>
    </w:p>
    <w:p>
      <w:pPr>
        <w:spacing w:before="0" w:after="240" w:line="264" w:lineRule="auto"/>
      </w:pPr>
      <w:r>
        <w:rPr>
          <w:rFonts w:ascii="Calibri" w:hAnsi="Calibri" w:eastAsia="Hiragino Sans GB"/>
          <w:b w:val="0"/>
          <w:i w:val="0"/>
          <w:color w:val="334155"/>
          <w:sz w:val="22"/>
        </w:rPr>
        <w:t>2026-06-14 共纳入 141 篇中文研究结果，覆盖 6 位活跃分析师和 6 条主要行业链，较 2026-06-13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iragino Sans GB"/>
                <w:b/>
                <w:color w:val="667085"/>
                <w:sz w:val="17"/>
              </w:rPr>
              <w:t>今日报告</w:t>
              <w:br/>
            </w:r>
            <w:r>
              <w:rPr>
                <w:rFonts w:ascii="Calibri" w:hAnsi="Calibri" w:eastAsia="Hiragino Sans GB"/>
                <w:b/>
                <w:color w:val="285B9D"/>
                <w:sz w:val="36"/>
              </w:rPr>
              <w:t>141</w:t>
            </w:r>
          </w:p>
        </w:tc>
        <w:tc>
          <w:tcPr>
            <w:tcW w:type="dxa" w:w="2340"/>
            <w:vAlign w:val="center"/>
            <w:shd w:fill="F8FAFC"/>
          </w:tcPr>
          <w:p>
            <w:pPr>
              <w:spacing w:after="40"/>
            </w:pPr>
            <w:r>
              <w:rPr>
                <w:rFonts w:ascii="Calibri" w:hAnsi="Calibri" w:eastAsia="Hiragino Sans GB"/>
                <w:b/>
                <w:color w:val="667085"/>
                <w:sz w:val="17"/>
              </w:rPr>
              <w:t>活跃分析师</w:t>
              <w:br/>
            </w:r>
            <w:r>
              <w:rPr>
                <w:rFonts w:ascii="Calibri" w:hAnsi="Calibri" w:eastAsia="Hiragino Sans GB"/>
                <w:b/>
                <w:color w:val="237A5B"/>
                <w:sz w:val="36"/>
              </w:rPr>
              <w:t>6</w:t>
            </w:r>
          </w:p>
        </w:tc>
        <w:tc>
          <w:tcPr>
            <w:tcW w:type="dxa" w:w="2340"/>
            <w:vAlign w:val="center"/>
            <w:shd w:fill="F8FAFC"/>
          </w:tcPr>
          <w:p>
            <w:pPr>
              <w:spacing w:after="40"/>
            </w:pPr>
            <w:r>
              <w:rPr>
                <w:rFonts w:ascii="Calibri" w:hAnsi="Calibri" w:eastAsia="Hiragino Sans GB"/>
                <w:b/>
                <w:color w:val="667085"/>
                <w:sz w:val="17"/>
              </w:rPr>
              <w:t>活跃链条</w:t>
              <w:br/>
            </w:r>
            <w:r>
              <w:rPr>
                <w:rFonts w:ascii="Calibri" w:hAnsi="Calibri" w:eastAsia="Hiragino Sans GB"/>
                <w:b/>
                <w:color w:val="A8731B"/>
                <w:sz w:val="36"/>
              </w:rPr>
              <w:t>6</w:t>
            </w:r>
          </w:p>
        </w:tc>
        <w:tc>
          <w:tcPr>
            <w:tcW w:type="dxa" w:w="2340"/>
            <w:vAlign w:val="center"/>
            <w:shd w:fill="F8FAFC"/>
          </w:tcPr>
          <w:p>
            <w:pPr>
              <w:spacing w:after="40"/>
            </w:pPr>
            <w:r>
              <w:rPr>
                <w:rFonts w:ascii="Calibri" w:hAnsi="Calibri" w:eastAsia="Hiragino Sans GB"/>
                <w:b/>
                <w:color w:val="667085"/>
                <w:sz w:val="17"/>
              </w:rPr>
              <w:t>风险信号</w:t>
              <w:br/>
            </w:r>
            <w:r>
              <w:rPr>
                <w:rFonts w:ascii="Calibri" w:hAnsi="Calibri" w:eastAsia="Hiragino Sans GB"/>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14-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iragino Sans GB"/>
          <w:b/>
          <w:color w:val="285B9D"/>
          <w:sz w:val="21"/>
        </w:rPr>
        <w:t xml:space="preserve">主线判断: </w:t>
      </w:r>
      <w:hyperlink r:id="rId12">
        <w:r>
          <w:rPr>
            <w:color w:val="285B9D"/>
            <w:u w:val="single"/>
            <w:rFonts w:eastAsia="Hiragino Sans GB" w:ascii="Calibri" w:hAnsi="Calibri"/>
          </w:rPr>
          <w:t>跨越电力约束：AI基础设施瓶颈向全球权益市场的配置与估值映射 是今日最高权重结论，核心证据来自 未识别，关联 AI 基础设施。</w:t>
        </w:r>
      </w:hyperlink>
    </w:p>
    <w:p>
      <w:pPr>
        <w:spacing w:after="140"/>
        <w:ind w:left="259" w:hanging="259"/>
      </w:pPr>
      <w:r>
        <w:rPr>
          <w:rFonts w:ascii="Calibri" w:hAnsi="Calibri" w:eastAsia="Hiragino Sans GB"/>
          <w:b/>
          <w:color w:val="285B9D"/>
          <w:sz w:val="21"/>
        </w:rPr>
        <w:t xml:space="preserve">变化信号: </w:t>
      </w:r>
      <w:r>
        <w:rPr>
          <w:rFonts w:ascii="Calibri" w:hAnsi="Calibri" w:eastAsia="Hiragino Sans GB"/>
          <w:color w:val="111827"/>
          <w:sz w:val="21"/>
        </w:rPr>
        <w:t>AI 今日 降温，当日计数 130，前一日计数 202。</w:t>
      </w:r>
    </w:p>
    <w:p>
      <w:pPr>
        <w:spacing w:after="140"/>
        <w:ind w:left="259" w:hanging="259"/>
      </w:pPr>
      <w:r>
        <w:rPr>
          <w:rFonts w:ascii="Calibri" w:hAnsi="Calibri" w:eastAsia="Hiragino Sans GB"/>
          <w:b/>
          <w:color w:val="285B9D"/>
          <w:sz w:val="21"/>
        </w:rPr>
        <w:t xml:space="preserve">风险焦点: </w:t>
      </w:r>
      <w:hyperlink r:id="rId12">
        <w:r>
          <w:rPr>
            <w:color w:val="285B9D"/>
            <w:u w:val="single"/>
            <w:rFonts w:eastAsia="Hiragino Sans GB" w:ascii="Calibri" w:hAnsi="Calibri"/>
          </w:rPr>
          <w:t>风险矩阵最需要跟踪的是 AI 基础设施：跨越电力约束：AI基础设施瓶颈向全球权益市场的配置与估值映射。</w:t>
        </w:r>
      </w:hyperlink>
    </w:p>
    <w:p>
      <w:pPr>
        <w:spacing w:after="140"/>
        <w:ind w:left="259" w:hanging="259"/>
      </w:pPr>
      <w:r>
        <w:rPr>
          <w:rFonts w:ascii="Calibri" w:hAnsi="Calibri" w:eastAsia="Hiragino Sans GB"/>
          <w:b/>
          <w:color w:val="285B9D"/>
          <w:sz w:val="21"/>
        </w:rPr>
        <w:t xml:space="preserve">证据密度: </w:t>
      </w:r>
      <w:hyperlink r:id="rId13">
        <w:r>
          <w:rPr>
            <w:color w:val="285B9D"/>
            <w:u w:val="single"/>
            <w:rFonts w:eastAsia="Hiragino Sans GB" w:ascii="Calibri" w:hAnsi="Calibri"/>
          </w:rPr>
          <w:t>宏观通胀传导 今日 136 条、近七日 1549 条，风险信号 1134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iragino Sans GB"/>
                <w:b/>
                <w:color w:val="7A5A00"/>
                <w:sz w:val="21"/>
              </w:rPr>
              <w:t xml:space="preserve">投资解读: </w:t>
            </w:r>
            <w:r>
              <w:rPr>
                <w:rFonts w:ascii="Calibri" w:hAnsi="Calibri" w:eastAsia="Hiragino Sans GB"/>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14-web-trend.png"/>
                    <pic:cNvPicPr/>
                  </pic:nvPicPr>
                  <pic:blipFill>
                    <a:blip r:embed="rId14"/>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14-web-chains.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14-web-risk.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14-web-heatmap.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iragino Sans GB"/>
          <w:b/>
          <w:i w:val="0"/>
          <w:color w:val="0B2545"/>
          <w:sz w:val="23"/>
        </w:rPr>
        <w:t>1. 跨越电力约束：AI基础设施瓶颈向全球权益市场的配置与估值映射</w:t>
      </w:r>
    </w:p>
    <w:p>
      <w:pPr>
        <w:spacing w:before="0" w:after="40" w:line="264" w:lineRule="auto"/>
      </w:pPr>
      <w:r>
        <w:rPr>
          <w:rFonts w:ascii="Calibri" w:hAnsi="Calibri" w:eastAsia="Hiragino Sans GB"/>
          <w:b w:val="0"/>
          <w:i w:val="0"/>
          <w:color w:val="667085"/>
          <w:sz w:val="17"/>
        </w:rPr>
        <w:t>未识别 · AI 基础设施 · score 62.9</w:t>
      </w:r>
    </w:p>
    <w:p>
      <w:pPr>
        <w:spacing w:before="0" w:after="100" w:line="264" w:lineRule="auto"/>
      </w:pPr>
      <w:r>
        <w:rPr>
          <w:rFonts w:ascii="Calibri" w:hAnsi="Calibri" w:eastAsia="Hiragino Sans GB"/>
          <w:b w:val="0"/>
          <w:i w:val="0"/>
          <w:color w:val="334155"/>
          <w:sz w:val="20"/>
        </w:rPr>
        <w:t>截至 2026-06-14，经过九个阶段的结构性压力测试，我们确认了一个关键的相位转换：限制 AI 规模化扩张的边际约束已从 GPU 与芯片产能，实质性地迁移至电力与电网物理设备 [S1]。尽管 Top-6 超大...</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reports/archive-6984a39e382c</w:t>
        </w:r>
      </w:hyperlink>
    </w:p>
    <w:p>
      <w:pPr>
        <w:spacing w:before="0" w:after="40" w:line="264" w:lineRule="auto"/>
      </w:pPr>
      <w:r>
        <w:rPr>
          <w:rFonts w:ascii="Calibri" w:hAnsi="Calibri" w:eastAsia="Hiragino Sans GB"/>
          <w:b/>
          <w:i w:val="0"/>
          <w:color w:val="0B2545"/>
          <w:sz w:val="23"/>
        </w:rPr>
        <w:t>2. 电网设备供应链瓶颈：变压器及核心部件交期压力测试</w:t>
      </w:r>
    </w:p>
    <w:p>
      <w:pPr>
        <w:spacing w:before="0" w:after="40" w:line="264" w:lineRule="auto"/>
      </w:pPr>
      <w:r>
        <w:rPr>
          <w:rFonts w:ascii="Calibri" w:hAnsi="Calibri" w:eastAsia="Hiragino Sans GB"/>
          <w:b w:val="0"/>
          <w:i w:val="0"/>
          <w:color w:val="667085"/>
          <w:sz w:val="17"/>
        </w:rPr>
        <w:t>未识别 · 工业供给瓶颈 · score 62.5</w:t>
      </w:r>
    </w:p>
    <w:p>
      <w:pPr>
        <w:spacing w:before="0" w:after="100" w:line="264" w:lineRule="auto"/>
      </w:pPr>
      <w:r>
        <w:rPr>
          <w:rFonts w:ascii="Calibri" w:hAnsi="Calibri" w:eastAsia="Hiragino Sans GB"/>
          <w:b w:val="0"/>
          <w:i w:val="0"/>
          <w:color w:val="334155"/>
          <w:sz w:val="20"/>
        </w:rPr>
        <w:t>工作日期：2026-06-14。本报告片对上一张能源侧结论做压力测试：增量电力可以建设，但 AI 产能能否通电，取决于变压器、开关柜、断路器、电缆和调试人力能否按同一节奏交付。</w:t>
      </w:r>
    </w:p>
    <w:p>
      <w:pPr>
        <w:spacing w:before="0" w:after="160" w:line="264" w:lineRule="auto"/>
      </w:pPr>
      <w:r>
        <w:rPr>
          <w:rFonts w:ascii="Calibri" w:hAnsi="Calibri" w:eastAsia="Hiragino Sans GB"/>
          <w:b w:val="0"/>
          <w:i w:val="0"/>
          <w:color w:val="667085"/>
          <w:sz w:val="17"/>
        </w:rPr>
        <w:t xml:space="preserve">Report: </w:t>
      </w:r>
      <w:hyperlink r:id="rId18">
        <w:r>
          <w:rPr>
            <w:color w:val="285B9D"/>
            <w:u w:val="single"/>
            <w:rFonts w:eastAsia="Hiragino Sans GB" w:ascii="Calibri" w:hAnsi="Calibri"/>
          </w:rPr>
          <w:t>reports/archive-6921ecb4fc86</w:t>
        </w:r>
      </w:hyperlink>
    </w:p>
    <w:p>
      <w:pPr>
        <w:spacing w:before="0" w:after="40" w:line="264" w:lineRule="auto"/>
      </w:pPr>
      <w:r>
        <w:rPr>
          <w:rFonts w:ascii="Calibri" w:hAnsi="Calibri" w:eastAsia="Hiragino Sans GB"/>
          <w:b/>
          <w:i w:val="0"/>
          <w:color w:val="0B2545"/>
          <w:sz w:val="23"/>
        </w:rPr>
        <w:t>3. 变压器供应链割裂对 AI 数据中心资本开支的压力测试</w:t>
      </w:r>
    </w:p>
    <w:p>
      <w:pPr>
        <w:spacing w:before="0" w:after="40" w:line="264" w:lineRule="auto"/>
      </w:pPr>
      <w:r>
        <w:rPr>
          <w:rFonts w:ascii="Calibri" w:hAnsi="Calibri" w:eastAsia="Hiragino Sans GB"/>
          <w:b w:val="0"/>
          <w:i w:val="0"/>
          <w:color w:val="667085"/>
          <w:sz w:val="17"/>
        </w:rPr>
        <w:t>未识别 · 工业供给瓶颈 · score 54.8</w:t>
      </w:r>
    </w:p>
    <w:p>
      <w:pPr>
        <w:spacing w:before="0" w:after="100" w:line="264" w:lineRule="auto"/>
      </w:pPr>
      <w:r>
        <w:rPr>
          <w:rFonts w:ascii="Calibri" w:hAnsi="Calibri" w:eastAsia="Hiragino Sans GB"/>
          <w:b w:val="0"/>
          <w:i w:val="0"/>
          <w:color w:val="334155"/>
          <w:sz w:val="20"/>
        </w:rPr>
        <w:t>工作日期：2026-06-14。本报告压力测试上游结论：全球电网设备供应链割裂使大型变压器交期再延长 8-12 周、成本再上升 6-9%；由于本工作区缺失 research note 本地文件，这一 8-12 周 / 6-9% 增...</w:t>
      </w:r>
    </w:p>
    <w:p>
      <w:pPr>
        <w:spacing w:before="0" w:after="160" w:line="264" w:lineRule="auto"/>
      </w:pPr>
      <w:r>
        <w:rPr>
          <w:rFonts w:ascii="Calibri" w:hAnsi="Calibri" w:eastAsia="Hiragino Sans GB"/>
          <w:b w:val="0"/>
          <w:i w:val="0"/>
          <w:color w:val="667085"/>
          <w:sz w:val="17"/>
        </w:rPr>
        <w:t xml:space="preserve">Report: </w:t>
      </w:r>
      <w:hyperlink r:id="rId19">
        <w:r>
          <w:rPr>
            <w:color w:val="285B9D"/>
            <w:u w:val="single"/>
            <w:rFonts w:eastAsia="Hiragino Sans GB" w:ascii="Calibri" w:hAnsi="Calibri"/>
          </w:rPr>
          <w:t>reports/archive-a5e5d053e839</w:t>
        </w:r>
      </w:hyperlink>
    </w:p>
    <w:p>
      <w:pPr>
        <w:spacing w:before="0" w:after="40" w:line="264" w:lineRule="auto"/>
      </w:pPr>
      <w:r>
        <w:rPr>
          <w:rFonts w:ascii="Calibri" w:hAnsi="Calibri" w:eastAsia="Hiragino Sans GB"/>
          <w:b/>
          <w:i w:val="0"/>
          <w:color w:val="0B2545"/>
          <w:sz w:val="23"/>
        </w:rPr>
        <w:t>4. 美国 AI 数据中心电力约束与超大规模云厂商 ROI：关于电网瓶颈、电价机制重构及脱碳路径的定量压力...</w:t>
      </w:r>
    </w:p>
    <w:p>
      <w:pPr>
        <w:spacing w:before="0" w:after="40" w:line="264" w:lineRule="auto"/>
      </w:pPr>
      <w:r>
        <w:rPr>
          <w:rFonts w:ascii="Calibri" w:hAnsi="Calibri" w:eastAsia="Hiragino Sans GB"/>
          <w:b w:val="0"/>
          <w:i w:val="0"/>
          <w:color w:val="667085"/>
          <w:sz w:val="17"/>
        </w:rPr>
        <w:t>未识别 · 电力与电网 · score 51.7</w:t>
      </w:r>
    </w:p>
    <w:p>
      <w:pPr>
        <w:spacing w:before="0" w:after="100" w:line="264" w:lineRule="auto"/>
      </w:pPr>
      <w:r>
        <w:rPr>
          <w:rFonts w:ascii="Calibri" w:hAnsi="Calibri" w:eastAsia="Hiragino Sans GB"/>
          <w:b w:val="0"/>
          <w:i w:val="0"/>
          <w:color w:val="334155"/>
          <w:sz w:val="20"/>
        </w:rPr>
        <w:t>美国 AI 数据中心电力约束与超大规模云厂商 ROI：关于电网瓶颈、电价机制重构及脱碳路径的定量压力测试报告</w:t>
      </w:r>
    </w:p>
    <w:p>
      <w:pPr>
        <w:spacing w:before="0" w:after="160" w:line="264" w:lineRule="auto"/>
      </w:pPr>
      <w:r>
        <w:rPr>
          <w:rFonts w:ascii="Calibri" w:hAnsi="Calibri" w:eastAsia="Hiragino Sans GB"/>
          <w:b w:val="0"/>
          <w:i w:val="0"/>
          <w:color w:val="667085"/>
          <w:sz w:val="17"/>
        </w:rPr>
        <w:t xml:space="preserve">Report: </w:t>
      </w:r>
      <w:hyperlink r:id="rId20">
        <w:r>
          <w:rPr>
            <w:color w:val="285B9D"/>
            <w:u w:val="single"/>
            <w:rFonts w:eastAsia="Hiragino Sans GB" w:ascii="Calibri" w:hAnsi="Calibri"/>
          </w:rPr>
          <w:t>reports/archive-d5fc605305fe</w:t>
        </w:r>
      </w:hyperlink>
    </w:p>
    <w:p>
      <w:pPr>
        <w:spacing w:before="0" w:after="40" w:line="264" w:lineRule="auto"/>
      </w:pPr>
      <w:r>
        <w:rPr>
          <w:rFonts w:ascii="Calibri" w:hAnsi="Calibri" w:eastAsia="Hiragino Sans GB"/>
          <w:b/>
          <w:i w:val="0"/>
          <w:color w:val="0B2545"/>
          <w:sz w:val="23"/>
        </w:rPr>
        <w:t>5. 电网设备瓶颈对AI芯片与先进封装产能节奏的传导风险</w:t>
      </w:r>
    </w:p>
    <w:p>
      <w:pPr>
        <w:spacing w:before="0" w:after="40" w:line="264" w:lineRule="auto"/>
      </w:pPr>
      <w:r>
        <w:rPr>
          <w:rFonts w:ascii="Calibri" w:hAnsi="Calibri" w:eastAsia="Hiragino Sans GB"/>
          <w:b w:val="0"/>
          <w:i w:val="0"/>
          <w:color w:val="667085"/>
          <w:sz w:val="17"/>
        </w:rPr>
        <w:t>未识别 · 半导体与存储 · score 51.7</w:t>
      </w:r>
    </w:p>
    <w:p>
      <w:pPr>
        <w:spacing w:before="0" w:after="100" w:line="264" w:lineRule="auto"/>
      </w:pPr>
      <w:r>
        <w:rPr>
          <w:rFonts w:ascii="Calibri" w:hAnsi="Calibri" w:eastAsia="Hiragino Sans GB"/>
          <w:b w:val="0"/>
          <w:i w:val="0"/>
          <w:color w:val="334155"/>
          <w:sz w:val="20"/>
        </w:rPr>
        <w:t>电网设备瓶颈对AI芯片与先进封装产能节奏的传导风险 日期 : 2026-06-14</w:t>
      </w:r>
    </w:p>
    <w:p>
      <w:pPr>
        <w:spacing w:before="0" w:after="160" w:line="264" w:lineRule="auto"/>
      </w:pPr>
      <w:r>
        <w:rPr>
          <w:rFonts w:ascii="Calibri" w:hAnsi="Calibri" w:eastAsia="Hiragino Sans GB"/>
          <w:b w:val="0"/>
          <w:i w:val="0"/>
          <w:color w:val="667085"/>
          <w:sz w:val="17"/>
        </w:rPr>
        <w:t xml:space="preserve">Report: </w:t>
      </w:r>
      <w:hyperlink r:id="rId21">
        <w:r>
          <w:rPr>
            <w:color w:val="285B9D"/>
            <w:u w:val="single"/>
            <w:rFonts w:eastAsia="Hiragino Sans GB" w:ascii="Calibri" w:hAnsi="Calibri"/>
          </w:rPr>
          <w:t>reports/archive-fcf2d9b5ea42</w:t>
        </w:r>
      </w:hyperlink>
    </w:p>
    <w:p>
      <w:pPr>
        <w:spacing w:before="0" w:after="40" w:line="264" w:lineRule="auto"/>
      </w:pPr>
      <w:r>
        <w:rPr>
          <w:rFonts w:ascii="Calibri" w:hAnsi="Calibri" w:eastAsia="Hiragino Sans GB"/>
          <w:b/>
          <w:i w:val="0"/>
          <w:color w:val="0B2545"/>
          <w:sz w:val="23"/>
        </w:rPr>
        <w:t>6. AI电力瓶颈与变压器供应链稀缺性专题终局质量审计与系统性合成报告</w:t>
      </w:r>
    </w:p>
    <w:p>
      <w:pPr>
        <w:spacing w:before="0" w:after="40" w:line="264" w:lineRule="auto"/>
      </w:pPr>
      <w:r>
        <w:rPr>
          <w:rFonts w:ascii="Calibri" w:hAnsi="Calibri" w:eastAsia="Hiragino Sans GB"/>
          <w:b w:val="0"/>
          <w:i w:val="0"/>
          <w:color w:val="667085"/>
          <w:sz w:val="17"/>
        </w:rPr>
        <w:t>未识别 · 电力与电网 · score 51.1</w:t>
      </w:r>
    </w:p>
    <w:p>
      <w:pPr>
        <w:spacing w:before="0" w:after="100" w:line="264" w:lineRule="auto"/>
      </w:pPr>
      <w:r>
        <w:rPr>
          <w:rFonts w:ascii="Calibri" w:hAnsi="Calibri" w:eastAsia="Hiragino Sans GB"/>
          <w:b w:val="0"/>
          <w:i w:val="0"/>
          <w:color w:val="334155"/>
          <w:sz w:val="20"/>
        </w:rPr>
        <w:t>工作日期： 2026-06-14（Asia/Singapore，机构权威工作日） - 研究门户 ID： b1a9faf3-2c4b-4172-be57-098c6fae1018 - 共享会议路由： dc2cbc0e-9f62-406b-a077-34d79b38d08e - 研究记录位置：...</w:t>
      </w:r>
    </w:p>
    <w:p>
      <w:pPr>
        <w:spacing w:before="0" w:after="160" w:line="264" w:lineRule="auto"/>
      </w:pPr>
      <w:r>
        <w:rPr>
          <w:rFonts w:ascii="Calibri" w:hAnsi="Calibri" w:eastAsia="Hiragino Sans GB"/>
          <w:b w:val="0"/>
          <w:i w:val="0"/>
          <w:color w:val="667085"/>
          <w:sz w:val="17"/>
        </w:rPr>
        <w:t xml:space="preserve">Report: </w:t>
      </w:r>
      <w:hyperlink r:id="rId22">
        <w:r>
          <w:rPr>
            <w:color w:val="285B9D"/>
            <w:u w:val="single"/>
            <w:rFonts w:eastAsia="Hiragino Sans GB" w:ascii="Calibri" w:hAnsi="Calibri"/>
          </w:rPr>
          <w:t>reports/archive-a0ef5a83d106</w:t>
        </w:r>
      </w:hyperlink>
    </w:p>
    <w:p>
      <w:pPr>
        <w:pStyle w:val="Heading1"/>
      </w:pPr>
      <w:r>
        <w:t>4. 重点跟踪事项</w:t>
      </w:r>
    </w:p>
    <w:p>
      <w:pPr>
        <w:spacing w:before="0" w:after="40" w:line="264" w:lineRule="auto"/>
      </w:pPr>
      <w:r>
        <w:rPr>
          <w:rFonts w:ascii="Calibri" w:hAnsi="Calibri" w:eastAsia="Hiragino Sans GB"/>
          <w:b/>
          <w:i w:val="0"/>
          <w:color w:val="0B2545"/>
          <w:sz w:val="22"/>
        </w:rPr>
        <w:t>跨越电力约束：AI基础设施瓶颈向全球权益市场的配置与估值映射</w:t>
      </w:r>
    </w:p>
    <w:p>
      <w:pPr>
        <w:spacing w:before="0" w:after="60" w:line="264" w:lineRule="auto"/>
      </w:pPr>
      <w:r>
        <w:rPr>
          <w:rFonts w:ascii="Calibri" w:hAnsi="Calibri" w:eastAsia="Hiragino Sans GB"/>
          <w:b w:val="0"/>
          <w:i w:val="0"/>
          <w:color w:val="334155"/>
          <w:sz w:val="20"/>
        </w:rPr>
        <w:t>AI 基础设施，影响 5 / 概率 5</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reports/archive-6984a39e382c</w:t>
        </w:r>
      </w:hyperlink>
    </w:p>
    <w:p>
      <w:pPr>
        <w:spacing w:before="0" w:after="40" w:line="264" w:lineRule="auto"/>
      </w:pPr>
      <w:r>
        <w:rPr>
          <w:rFonts w:ascii="Calibri" w:hAnsi="Calibri" w:eastAsia="Hiragino Sans GB"/>
          <w:b/>
          <w:i w:val="0"/>
          <w:color w:val="0B2545"/>
          <w:sz w:val="22"/>
        </w:rPr>
        <w:t>电网设备供应链瓶颈：变压器及核心部件交期压力测试</w:t>
      </w:r>
    </w:p>
    <w:p>
      <w:pPr>
        <w:spacing w:before="0" w:after="60" w:line="264" w:lineRule="auto"/>
      </w:pPr>
      <w:r>
        <w:rPr>
          <w:rFonts w:ascii="Calibri" w:hAnsi="Calibri" w:eastAsia="Hiragino Sans GB"/>
          <w:b w:val="0"/>
          <w:i w:val="0"/>
          <w:color w:val="334155"/>
          <w:sz w:val="20"/>
        </w:rPr>
        <w:t>工业供给瓶颈，影响 5 / 概率 5</w:t>
      </w:r>
    </w:p>
    <w:p>
      <w:pPr>
        <w:spacing w:before="0" w:after="160" w:line="264" w:lineRule="auto"/>
      </w:pPr>
      <w:r>
        <w:rPr>
          <w:rFonts w:ascii="Calibri" w:hAnsi="Calibri" w:eastAsia="Hiragino Sans GB"/>
          <w:b w:val="0"/>
          <w:i w:val="0"/>
          <w:color w:val="667085"/>
          <w:sz w:val="17"/>
        </w:rPr>
        <w:t xml:space="preserve">Report: </w:t>
      </w:r>
      <w:hyperlink r:id="rId18">
        <w:r>
          <w:rPr>
            <w:color w:val="285B9D"/>
            <w:u w:val="single"/>
            <w:rFonts w:eastAsia="Hiragino Sans GB" w:ascii="Calibri" w:hAnsi="Calibri"/>
          </w:rPr>
          <w:t>reports/archive-6921ecb4fc86</w:t>
        </w:r>
      </w:hyperlink>
    </w:p>
    <w:p>
      <w:pPr>
        <w:spacing w:before="0" w:after="40" w:line="264" w:lineRule="auto"/>
      </w:pPr>
      <w:r>
        <w:rPr>
          <w:rFonts w:ascii="Calibri" w:hAnsi="Calibri" w:eastAsia="Hiragino Sans GB"/>
          <w:b/>
          <w:i w:val="0"/>
          <w:color w:val="0B2545"/>
          <w:sz w:val="22"/>
        </w:rPr>
        <w:t>电力设备供应链缺口：变压器及电网关键部件的产能约束</w:t>
      </w:r>
    </w:p>
    <w:p>
      <w:pPr>
        <w:spacing w:before="0" w:after="60" w:line="264" w:lineRule="auto"/>
      </w:pPr>
      <w:r>
        <w:rPr>
          <w:rFonts w:ascii="Calibri" w:hAnsi="Calibri" w:eastAsia="Hiragino Sans GB"/>
          <w:b w:val="0"/>
          <w:i w:val="0"/>
          <w:color w:val="334155"/>
          <w:sz w:val="20"/>
        </w:rPr>
        <w:t>工业供给瓶颈，影响 5 / 概率 3</w:t>
      </w:r>
    </w:p>
    <w:p>
      <w:pPr>
        <w:spacing w:before="0" w:after="160" w:line="264" w:lineRule="auto"/>
      </w:pPr>
      <w:r>
        <w:rPr>
          <w:rFonts w:ascii="Calibri" w:hAnsi="Calibri" w:eastAsia="Hiragino Sans GB"/>
          <w:b w:val="0"/>
          <w:i w:val="0"/>
          <w:color w:val="667085"/>
          <w:sz w:val="17"/>
        </w:rPr>
        <w:t xml:space="preserve">Report: </w:t>
      </w:r>
      <w:hyperlink r:id="rId23">
        <w:r>
          <w:rPr>
            <w:color w:val="285B9D"/>
            <w:u w:val="single"/>
            <w:rFonts w:eastAsia="Hiragino Sans GB" w:ascii="Calibri" w:hAnsi="Calibri"/>
          </w:rPr>
          <w:t>reports/archive-06c38822d530</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iragino Sans GB"/>
                <w:b/>
                <w:color w:val="475569"/>
                <w:sz w:val="18"/>
              </w:rPr>
              <w:t>报告</w:t>
            </w:r>
          </w:p>
        </w:tc>
        <w:tc>
          <w:tcPr>
            <w:tcW w:type="dxa" w:w="1560"/>
            <w:vAlign w:val="center"/>
            <w:shd w:fill="F2F4F7"/>
          </w:tcPr>
          <w:p>
            <w:pPr>
              <w:spacing w:before="0" w:after="0"/>
              <w:jc w:val="center"/>
            </w:pPr>
            <w:r/>
            <w:r>
              <w:rPr>
                <w:rFonts w:ascii="Calibri" w:hAnsi="Calibri" w:eastAsia="Hiragino Sans GB"/>
                <w:b/>
                <w:color w:val="475569"/>
                <w:sz w:val="18"/>
              </w:rPr>
              <w:t>分析师</w:t>
            </w:r>
          </w:p>
        </w:tc>
        <w:tc>
          <w:tcPr>
            <w:tcW w:type="dxa" w:w="1680"/>
            <w:vAlign w:val="center"/>
            <w:shd w:fill="F2F4F7"/>
          </w:tcPr>
          <w:p>
            <w:pPr>
              <w:spacing w:before="0" w:after="0"/>
              <w:jc w:val="center"/>
            </w:pPr>
            <w:r/>
            <w:r>
              <w:rPr>
                <w:rFonts w:ascii="Calibri" w:hAnsi="Calibri" w:eastAsia="Hiragino Sans GB"/>
                <w:b/>
                <w:color w:val="475569"/>
                <w:sz w:val="18"/>
              </w:rPr>
              <w:t>行业链</w:t>
            </w:r>
          </w:p>
        </w:tc>
        <w:tc>
          <w:tcPr>
            <w:tcW w:type="dxa" w:w="900"/>
            <w:vAlign w:val="center"/>
            <w:shd w:fill="F2F4F7"/>
          </w:tcPr>
          <w:p>
            <w:pPr>
              <w:spacing w:before="0" w:after="0"/>
              <w:jc w:val="center"/>
            </w:pPr>
            <w:r/>
            <w:r>
              <w:rPr>
                <w:rFonts w:ascii="Calibri" w:hAnsi="Calibri" w:eastAsia="Hiragino Sans GB"/>
                <w:b/>
                <w:color w:val="475569"/>
                <w:sz w:val="18"/>
              </w:rPr>
              <w:t>评分</w:t>
            </w:r>
          </w:p>
        </w:tc>
        <w:tc>
          <w:tcPr>
            <w:tcW w:type="dxa" w:w="1500"/>
            <w:vAlign w:val="center"/>
            <w:shd w:fill="F2F4F7"/>
          </w:tcPr>
          <w:p>
            <w:pPr>
              <w:spacing w:before="0" w:after="0"/>
              <w:jc w:val="center"/>
            </w:pPr>
            <w:r/>
            <w:r>
              <w:rPr>
                <w:rFonts w:ascii="Calibri" w:hAnsi="Calibri" w:eastAsia="Hiragino Sans GB"/>
                <w:b/>
                <w:color w:val="475569"/>
                <w:sz w:val="18"/>
              </w:rPr>
              <w:t>风险</w:t>
            </w:r>
          </w:p>
        </w:tc>
      </w:tr>
      <w:tr>
        <w:tc>
          <w:tcPr>
            <w:tcW w:type="dxa" w:w="3720"/>
            <w:vAlign w:val="center"/>
          </w:tcPr>
          <w:p>
            <w:pPr>
              <w:spacing w:before="0" w:after="0"/>
            </w:pPr>
            <w:r/>
            <w:r>
              <w:rPr>
                <w:rFonts w:ascii="Calibri" w:hAnsi="Calibri" w:eastAsia="Hiragino Sans GB"/>
                <w:b w:val="0"/>
                <w:color w:val="111827"/>
                <w:sz w:val="17"/>
              </w:rPr>
              <w:t>跨越电力约束：AI基础设施瓶颈向全球权益市场的配置与估值映射</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62.9</w:t>
            </w:r>
          </w:p>
        </w:tc>
        <w:tc>
          <w:tcPr>
            <w:tcW w:type="dxa" w:w="1500"/>
            <w:vAlign w:val="center"/>
          </w:tcPr>
          <w:p>
            <w:pPr>
              <w:spacing w:before="0" w:after="0"/>
              <w:jc w:val="center"/>
            </w:pPr>
            <w:r/>
            <w:r>
              <w:rPr>
                <w:rFonts w:ascii="Calibri" w:hAnsi="Calibri" w:eastAsia="Hiragino Sans GB"/>
                <w:b w:val="0"/>
                <w:color w:val="111827"/>
                <w:sz w:val="16"/>
              </w:rPr>
              <w:t>风险 4</w:t>
            </w:r>
          </w:p>
        </w:tc>
      </w:tr>
      <w:tr>
        <w:tc>
          <w:tcPr>
            <w:tcW w:type="dxa" w:w="3720"/>
            <w:vAlign w:val="center"/>
          </w:tcPr>
          <w:p>
            <w:pPr>
              <w:spacing w:before="0" w:after="0"/>
            </w:pPr>
            <w:r/>
            <w:r>
              <w:rPr>
                <w:rFonts w:ascii="Calibri" w:hAnsi="Calibri" w:eastAsia="Hiragino Sans GB"/>
                <w:b w:val="0"/>
                <w:color w:val="111827"/>
                <w:sz w:val="17"/>
              </w:rPr>
              <w:t>电网设备供应链瓶颈：变压器及核心部件交期压力测试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62.5</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变压器供应链割裂对 AI 数据中心资本开支的压力测试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54.8</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美国 AI 数据中心电力约束与超大规模云厂商 ROI：关于电网瓶颈、电价机制重构及脱碳路径的定量压力...</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51.7</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电网设备瓶颈对AI芯片与先进封装产能节奏的传导风险</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半导体与存储</w:t>
            </w:r>
          </w:p>
        </w:tc>
        <w:tc>
          <w:tcPr>
            <w:tcW w:type="dxa" w:w="900"/>
            <w:vAlign w:val="center"/>
          </w:tcPr>
          <w:p>
            <w:pPr>
              <w:spacing w:before="0" w:after="0"/>
              <w:jc w:val="center"/>
            </w:pPr>
            <w:r/>
            <w:r>
              <w:rPr>
                <w:rFonts w:ascii="Calibri" w:hAnsi="Calibri" w:eastAsia="Hiragino Sans GB"/>
                <w:b/>
                <w:color w:val="111827"/>
                <w:sz w:val="17"/>
              </w:rPr>
              <w:t>51.7</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AI电力瓶颈与变压器供应链稀缺性专题终局质量审计与系统性合成报告</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51.1</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算力主权法规驱动下的半导体供应链重构与技术准入壁垒（压力测试）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50.7</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ASEAN Power Grid与电网扩容对2026-2030年AI电力真空期的压力测试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50.1</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压力测试 AI 基础设施成长极：电力瓶颈、电网节奏与算力扩张可行性</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49.9</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能源供应侧压力测试：电网能否跟上 AI 电力扩张？</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49.6</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压力测试：2027-2030数据中心能源结构的监管阻碍——核电PPA与绿电匹配政策</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48.9</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电网扩容核心设备链（特高压/变压器）的产能与投资评估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48.5</w:t>
            </w:r>
          </w:p>
        </w:tc>
        <w:tc>
          <w:tcPr>
            <w:tcW w:type="dxa" w:w="1500"/>
            <w:vAlign w:val="center"/>
          </w:tcPr>
          <w:p>
            <w:pPr>
              <w:spacing w:before="0" w:after="0"/>
              <w:jc w:val="center"/>
            </w:pPr>
            <w:r/>
            <w:r>
              <w:rPr>
                <w:rFonts w:ascii="Calibri" w:hAnsi="Calibri" w:eastAsia="Hiragino Sans GB"/>
                <w:b w:val="0"/>
                <w:color w:val="111827"/>
                <w:sz w:val="16"/>
              </w:rPr>
              <w:t>常规</w:t>
            </w:r>
          </w:p>
        </w:tc>
      </w:tr>
      <w:tr>
        <w:tc>
          <w:tcPr>
            <w:tcW w:type="dxa" w:w="3720"/>
            <w:vAlign w:val="center"/>
          </w:tcPr>
          <w:p>
            <w:pPr>
              <w:spacing w:before="0" w:after="0"/>
            </w:pPr>
            <w:r/>
            <w:r>
              <w:rPr>
                <w:rFonts w:ascii="Calibri" w:hAnsi="Calibri" w:eastAsia="Hiragino Sans GB"/>
                <w:b w:val="0"/>
                <w:color w:val="111827"/>
                <w:sz w:val="17"/>
              </w:rPr>
              <w:t>GOES 出口管控与中美欧贸易政策对高压变压器供应链稀缺租金分配的影响</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48.1</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能源侧发电增量能否支撑 AI 大负荷并网？</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48.0</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主题研究员专题报告：美中电网供应链冲突的延伸 —— 出口管制与技术脱钩风险深度压力测试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47.5</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重启核能服务AI：数据中心核电直供的监管博弈与并网路径创新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47.2</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电磁硅钢与铜的供应弹性能否支撑高压变压器产业链的结构性扩张？</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47.1</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2026-06-14 能源研究片07：PJM容量电价红利、非监管IPP燃料传导与天然气价格风险</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47.1</w:t>
            </w:r>
          </w:p>
        </w:tc>
        <w:tc>
          <w:tcPr>
            <w:tcW w:type="dxa" w:w="1500"/>
            <w:vAlign w:val="center"/>
          </w:tcPr>
          <w:p>
            <w:pPr>
              <w:spacing w:before="0" w:after="0"/>
              <w:jc w:val="center"/>
            </w:pPr>
            <w:r/>
            <w:r>
              <w:rPr>
                <w:rFonts w:ascii="Calibri" w:hAnsi="Calibri" w:eastAsia="Hiragino Sans GB"/>
                <w:b w:val="0"/>
                <w:color w:val="111827"/>
                <w:sz w:val="16"/>
              </w:rPr>
              <w:t>风险 2</w:t>
            </w:r>
          </w:p>
        </w:tc>
      </w:tr>
    </w:tbl>
    <w:p>
      <w:pPr>
        <w:spacing w:before="0" w:after="160" w:line="264" w:lineRule="auto"/>
      </w:pPr>
      <w:r>
        <w:rPr>
          <w:rFonts w:ascii="Calibri" w:hAnsi="Calibri" w:eastAsia="Hiragino Sans GB"/>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iragino Sans GB"/>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iragino Sans GB"/>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iragino Sans GB"/>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iragino Sans GB"/>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6984a39e382c" TargetMode="External"/><Relationship Id="rId13" Type="http://schemas.openxmlformats.org/officeDocument/2006/relationships/hyperlink" Target="reports/archive-00ff9513b3b9"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reports/archive-6921ecb4fc86" TargetMode="External"/><Relationship Id="rId19" Type="http://schemas.openxmlformats.org/officeDocument/2006/relationships/hyperlink" Target="reports/archive-a5e5d053e839" TargetMode="External"/><Relationship Id="rId20" Type="http://schemas.openxmlformats.org/officeDocument/2006/relationships/hyperlink" Target="reports/archive-d5fc605305fe" TargetMode="External"/><Relationship Id="rId21" Type="http://schemas.openxmlformats.org/officeDocument/2006/relationships/hyperlink" Target="reports/archive-fcf2d9b5ea42" TargetMode="External"/><Relationship Id="rId22" Type="http://schemas.openxmlformats.org/officeDocument/2006/relationships/hyperlink" Target="reports/archive-a0ef5a83d106" TargetMode="External"/><Relationship Id="rId23" Type="http://schemas.openxmlformats.org/officeDocument/2006/relationships/hyperlink" Target="reports/archive-06c38822d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2026-06-14</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