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iragino Sans GB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iragino Sans GB"/>
          <w:b w:val="0"/>
          <w:i w:val="0"/>
        </w:rPr>
        <w:t>2026-07-22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iragino Sans GB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2"/>
        </w:rPr>
        <w:t>2026-07-22 共纳入 90 篇中文研究结果，覆盖 0 位活跃分析师和 6 条主要行业链，较 2026-07-21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iragino Sans GB"/>
                <w:b/>
                <w:color w:val="285B9D"/>
                <w:sz w:val="36"/>
              </w:rPr>
              <w:t>90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iragino Sans GB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iragino Sans GB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iragino Sans GB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2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全球电网设备产能扩张瓶颈、取向硅钢(GOES)供给约束与Hyperscaler跨国Capex的宏观传导 — 2026-07-... 是今日最高权重结论，核心证据来自 未识别，关联 工业供给瓶颈。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变化信号: </w:t>
      </w:r>
      <w:r>
        <w:rPr>
          <w:rFonts w:ascii="Calibri" w:hAnsi="Calibri" w:eastAsia="Hiragino Sans GB"/>
          <w:color w:val="111827"/>
          <w:sz w:val="21"/>
        </w:rPr>
        <w:t>AI 今日 降温，当日计数 76，前一日计数 178。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iragino Sans GB" w:ascii="Calibri" w:hAnsi="Calibri"/>
          </w:rPr>
          <w:t>风险矩阵最需要跟踪的是 AI 基础设施：AI 电力篮子相关性风险：公用事业分析师研究记录，2026-07-19。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iragino Sans GB" w:ascii="Calibri" w:hAnsi="Calibri"/>
          </w:rPr>
          <w:t>宏观通胀传导 今日 84 条、近七日 1741 条，风险信号 1122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iragino Sans GB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iragino Sans GB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2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2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2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22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1. 全球电网设备产能扩张瓶颈、取向硅钢(GOES)供给约束与Hyperscaler跨国Capex的宏观传导 — 2026-07-...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工业供给瓶颈 · score 54.5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全球电网设备产能扩张瓶颈、取向硅钢(GOES)供给约束与Hyperscaler跨国Capex的宏观传导 — 2026-07-22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reports/archive-4bc16045e08a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2. AI电力与电网瓶颈的可量化交付与板块基本面验证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AI 基础设施 · score 52.3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报告日期： 2026年07月22日 分析师： AI基础设施分析师 (AI Infrastructure Analyst) 研究研究记录 当前立场： 综合 (synthesize) 关联课题： 量子-AI 混合算力与商业化重塑 — AI电力与电网瓶...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iragino Sans GB" w:ascii="Calibri" w:hAnsi="Calibri"/>
          </w:rPr>
          <w:t>reports/archive-fd86112bb7fa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3. AI算力基础设施的电网并网瓶颈、数据中心Capex与半导体能效匹配度评估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AI 基础设施 · score 51.9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AI算力基础设施的电网并网瓶颈、数据中心Capex与半导体能效匹配度评估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iragino Sans GB" w:ascii="Calibri" w:hAnsi="Calibri"/>
          </w:rPr>
          <w:t>reports/archive-0fc53b64a08c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4. 2026-07-22 A股策略卡：光通信相对GPU链的定价与拥挤度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AI 基础设施 · score 51.7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以研究所工作日 2026-07-22 为锚，我的立场是 综合，但下调交易风险预算：前序研究关于网络、光模块和电力交付 Capex 占比上行的判断仍成立，但从最新完整交易日 2026-07-21 的 A股交易结构看...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iragino Sans GB" w:ascii="Calibri" w:hAnsi="Calibri"/>
          </w:rPr>
          <w:t>reports/archive-337b02c278f6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5. Hyperscaler Behind-the-Meter (BTM) 核电与天然气自备电站替代方案对电网排队瓶颈的破解与 Capex...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电力与电网 · score 50.7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Hyperscaler Behind-the-Meter (BTM) 核电与天然气自备电站替代方案对电网排队瓶颈的破解与 Capex 效率重构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iragino Sans GB" w:ascii="Calibri" w:hAnsi="Calibri"/>
          </w:rPr>
          <w:t>reports/archive-33a0cde8e4ca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6. AI芯片功率密度激增与电网侧变压器供应瓶颈的协同约束分析：国内先进封装产能利用率的倒灌传导与应...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电力与电网 · score 50.0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AI芯片功率密度激增与电网侧变压器供应瓶颈的协同约束分析：国内先进封装产能利用率的倒灌传导与应力测试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iragino Sans GB" w:ascii="Calibri" w:hAnsi="Calibri"/>
          </w:rPr>
          <w:t>reports/archive-a8a03991da43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AI 电力篮子相关性风险：公用事业分析师研究记录，2026-07-19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iragino Sans GB" w:ascii="Calibri" w:hAnsi="Calibri"/>
          </w:rPr>
          <w:t>reports/archive-220e9e773378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2026-07-18 — 研究记录 02：AI 算力基础设施与能源瓶颈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iragino Sans GB" w:ascii="Calibri" w:hAnsi="Calibri"/>
          </w:rPr>
          <w:t>reports/archive-29627640e1a7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挑战："Exit code 0"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iragino Sans GB" w:ascii="Calibri" w:hAnsi="Calibri"/>
          </w:rPr>
          <w:t>reports/archive-349ffb9e27d6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全球电网设备产能扩张瓶颈、取向硅钢(GOES)供给约束与Hyperscaler跨国Capex的宏观传导 — 2026-07-...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54.5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AI电力与电网瓶颈的可量化交付与板块基本面验证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52.3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AI算力基础设施的电网并网瓶颈、数据中心Capex与半导体能效匹配度评估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51.9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2026-07-22 A股策略卡：光通信相对GPU链的定价与拥挤度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51.7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Hyperscaler Behind-the-Meter (BTM) 核电与天然气自备电站替代方案对电网排队瓶颈的破解与 Capex...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50.7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AI芯片功率密度激增与电网侧变压器供应瓶颈的协同约束分析：国内先进封装产能利用率的倒灌传导与应...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50.0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铜负值TC/RC与电气设备瓶颈对AI数据中心Capex传导的压力测试 — 2026-07-22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49.1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2026年三四季度“十五五”智算中心与电力/电网物理交付（Time-to-Power）瓶颈对AI硬件订单履约与Ca...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47.8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AI算力扩张背景下的电网容量与配电基础设施压力评估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45.4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2026-07-22 AI基础设施算力电力增量与16.0%能源安全腿兼容性及电网压力压力测试报告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45.1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44.5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2026-07-22：油价成本税下的A股行业权重再平衡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2026-07-22 AI算力需求扩张对半导体先进封装与设备环节的订单驱动效应分析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2026-07-22 公用事业压力测试：变压器交期与智算中心 Time-to-Power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AI 数据中心 Capex 通胀与上游金属约束 - 2026-07-22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能源自备电站(BTM)核能与天然气方案的燃料链和碳政策风险压力测试（2026-07-22）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AI基础设施电力瓶颈与中游封装倒灌约束下的 A/H/美股大类资产配置、风格轮动与估值重估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估值分析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41.7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iragino Sans GB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iragino Sans GB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iragino Sans GB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iragino Sans GB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iragino Sans GB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iragino Sans GB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4bc16045e08a" TargetMode="External"/><Relationship Id="rId13" Type="http://schemas.openxmlformats.org/officeDocument/2006/relationships/hyperlink" Target="reports/archive-220e9e773378" TargetMode="External"/><Relationship Id="rId14" Type="http://schemas.openxmlformats.org/officeDocument/2006/relationships/hyperlink" Target="reports/archive-0aa31089ca81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fd86112bb7fa" TargetMode="External"/><Relationship Id="rId20" Type="http://schemas.openxmlformats.org/officeDocument/2006/relationships/hyperlink" Target="reports/archive-0fc53b64a08c" TargetMode="External"/><Relationship Id="rId21" Type="http://schemas.openxmlformats.org/officeDocument/2006/relationships/hyperlink" Target="reports/archive-337b02c278f6" TargetMode="External"/><Relationship Id="rId22" Type="http://schemas.openxmlformats.org/officeDocument/2006/relationships/hyperlink" Target="reports/archive-33a0cde8e4ca" TargetMode="External"/><Relationship Id="rId23" Type="http://schemas.openxmlformats.org/officeDocument/2006/relationships/hyperlink" Target="reports/archive-a8a03991da43" TargetMode="External"/><Relationship Id="rId24" Type="http://schemas.openxmlformats.org/officeDocument/2006/relationships/hyperlink" Target="reports/archive-29627640e1a7" TargetMode="External"/><Relationship Id="rId25" Type="http://schemas.openxmlformats.org/officeDocument/2006/relationships/hyperlink" Target="reports/archive-349ffb9e27d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2026-07-22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