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240"/>
      </w:pPr>
    </w:p>
    <w:p>
      <w:pPr>
        <w:spacing w:after="240"/>
      </w:pPr>
    </w:p>
    <w:p>
      <w:pPr>
        <w:spacing w:after="360"/>
        <w:jc w:val="center"/>
      </w:pPr>
      <w:r>
        <w:rPr>
          <w:rFonts w:ascii="Calibri" w:hAnsi="Calibri" w:eastAsia="Hiragino Sans GB"/>
          <w:b/>
          <w:color w:val="D85B16"/>
          <w:sz w:val="18"/>
        </w:rPr>
        <w:t>AI INSTITUTE · WEEKLY RESEARCH</w:t>
      </w:r>
    </w:p>
    <w:p>
      <w:pPr>
        <w:spacing w:after="160"/>
        <w:jc w:val="center"/>
      </w:pPr>
      <w:r>
        <w:rPr>
          <w:rFonts w:ascii="Calibri" w:hAnsi="Calibri" w:eastAsia="Hiragino Sans GB"/>
          <w:b/>
          <w:color w:val="111111"/>
          <w:sz w:val="60"/>
        </w:rPr>
        <w:t>AI Institute 周度研究报告</w:t>
      </w:r>
    </w:p>
    <w:p>
      <w:pPr>
        <w:spacing w:after="480"/>
        <w:jc w:val="center"/>
      </w:pPr>
      <w:r>
        <w:rPr>
          <w:rFonts w:ascii="Calibri" w:hAnsi="Calibri" w:eastAsia="Hiragino Sans GB"/>
          <w:b/>
          <w:color w:val="5E6268"/>
          <w:sz w:val="28"/>
        </w:rPr>
        <w:t>2026-W30 AI Institute 周度投资研究全景</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2340"/>
        <w:gridCol w:w="2340"/>
        <w:gridCol w:w="2340"/>
        <w:gridCol w:w="2340"/>
      </w:tblGrid>
      <w:tr>
        <w:trPr>
          <w:cantSplit/>
        </w:trPr>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WEEK</w:t>
            </w:r>
          </w:p>
          <w:p>
            <w:pPr>
              <w:spacing w:after="0"/>
              <w:jc w:val="center"/>
            </w:pPr>
            <w:r>
              <w:rPr>
                <w:rFonts w:ascii="Calibri" w:hAnsi="Calibri" w:eastAsia="Hiragino Sans GB"/>
                <w:b/>
                <w:color w:val="111111"/>
                <w:sz w:val="19"/>
              </w:rPr>
              <w:t>2026-W30</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WINDOW</w:t>
            </w:r>
          </w:p>
          <w:p>
            <w:pPr>
              <w:spacing w:after="0"/>
              <w:jc w:val="center"/>
            </w:pPr>
            <w:r>
              <w:rPr>
                <w:rFonts w:ascii="Calibri" w:hAnsi="Calibri" w:eastAsia="Hiragino Sans GB"/>
                <w:b/>
                <w:color w:val="111111"/>
                <w:sz w:val="19"/>
              </w:rPr>
              <w:t>2026-07-16 → 2026-07-22</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EDITION</w:t>
            </w:r>
          </w:p>
          <w:p>
            <w:pPr>
              <w:spacing w:after="0"/>
              <w:jc w:val="center"/>
            </w:pPr>
            <w:r>
              <w:rPr>
                <w:rFonts w:ascii="Calibri" w:hAnsi="Calibri" w:eastAsia="Hiragino Sans GB"/>
                <w:b/>
                <w:color w:val="111111"/>
                <w:sz w:val="19"/>
              </w:rPr>
              <w:t>rolling · REV 7</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QUALITY</w:t>
            </w:r>
          </w:p>
          <w:p>
            <w:pPr>
              <w:spacing w:after="0"/>
              <w:jc w:val="center"/>
            </w:pPr>
            <w:r>
              <w:rPr>
                <w:rFonts w:ascii="Calibri" w:hAnsi="Calibri" w:eastAsia="Hiragino Sans GB"/>
                <w:b/>
                <w:color w:val="111111"/>
                <w:sz w:val="19"/>
              </w:rPr>
              <w:t>pass_with_warnings · 67</w:t>
            </w:r>
          </w:p>
        </w:tc>
      </w:tr>
    </w:tbl>
    <w:p>
      <w:pPr>
        <w:spacing w:after="80"/>
      </w:pP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360"/>
      </w:tblGrid>
      <w:tr>
        <w:trPr>
          <w:cantSplit/>
        </w:trPr>
        <w:tc>
          <w:tcPr>
            <w:tcW w:type="dxa" w:w="9360"/>
            <w:tcMar>
              <w:top w:w="80" w:type="dxa"/>
              <w:bottom w:w="80" w:type="dxa"/>
              <w:start w:w="120" w:type="dxa"/>
              <w:end w:w="120" w:type="dxa"/>
            </w:tcMar>
            <w:vAlign w:val="top"/>
            <w:shd w:fill="F8F9FA"/>
          </w:tcPr>
          <w:p>
            <w:pPr>
              <w:spacing w:before="80" w:after="80"/>
            </w:pPr>
            <w:r>
              <w:rPr>
                <w:rFonts w:ascii="Calibri" w:hAnsi="Calibri" w:eastAsia="Hiragino Sans GB"/>
                <w:b/>
                <w:color w:val="D85B16"/>
                <w:sz w:val="17"/>
              </w:rPr>
              <w:t>一句话结论</w:t>
              <w:br/>
            </w:r>
            <w:r>
              <w:rPr>
                <w:rFonts w:ascii="Calibri" w:hAnsi="Calibri" w:eastAsia="Hiragino Sans GB"/>
                <w:b/>
                <w:color w:val="111111"/>
                <w:sz w:val="24"/>
              </w:rPr>
              <w:t>本周的核心不是追逐研究热度，而是把 AI 电力/电网设备 与 A股半导体/两融负 Gamma 拆成可执行、可证伪的赛道和标的判断。</w:t>
            </w:r>
          </w:p>
        </w:tc>
      </w:tr>
    </w:tbl>
    <w:p>
      <w:pPr>
        <w:spacing w:before="320" w:after="0"/>
        <w:jc w:val="center"/>
      </w:pPr>
      <w:hyperlink r:id="rId11">
        <w:r>
          <w:rPr>
            <w:color w:val="1D5FD1"/>
            <w:u w:val="single"/>
            <w:sz w:val="18"/>
            <w:szCs w:val="18"/>
            <w:rFonts w:ascii="Calibri" w:hAnsi="Calibri" w:eastAsia="Hiragino Sans GB"/>
          </w:rPr>
          <w:t>打开受保护的在线周报</w:t>
        </w:r>
      </w:hyperlink>
    </w:p>
    <w:p>
      <w:r>
        <w:br w:type="page"/>
      </w:r>
    </w:p>
    <w:p>
      <w:pPr>
        <w:pStyle w:val="SectionLabel"/>
      </w:pPr>
      <w:r>
        <w:rPr>
          <w:rFonts w:ascii="Calibri" w:hAnsi="Calibri" w:eastAsia="Hiragino Sans GB"/>
          <w:b/>
          <w:color w:val="1D5FD1"/>
          <w:sz w:val="17"/>
        </w:rPr>
        <w:t>DECISION FIRST</w:t>
      </w:r>
    </w:p>
    <w:p>
      <w:pPr>
        <w:pStyle w:val="Heading1"/>
      </w:pPr>
      <w:r>
        <w:t>1. 执行摘要</w:t>
      </w:r>
    </w:p>
    <w:p>
      <w:pPr>
        <w:keepLines w:val="0"/>
      </w:pPr>
      <w:r>
        <w:rPr>
          <w:rFonts w:ascii="Calibri" w:hAnsi="Calibri" w:eastAsia="Hiragino Sans GB"/>
          <w:b w:val="0"/>
          <w:color w:val="111111"/>
          <w:sz w:val="22"/>
        </w:rPr>
        <w:t>Hyperscaler Behind-the-Meter (BTM) 核电与天然气自备电站替代方案对电网排队瓶颈的破解与 Capex... 与 2026-07-22 A股策略卡：光通信相对GPU链的定价与拥挤度 构成本周最强的证据主轴，而 2026-07-22 云巨头AI Capex分化与电力瓶颈对半导体算力链订单兑现的传导验证报告 提供了必要的反向约束。公开研究合约显示，优先级正在从宽泛主题向可交付、可验证的产业链环节集中；组合层面应先读取 TRIM AI 算力半导体、HOLD A股红利/硬科技杠铃、HOLD AI 再通胀/利率敏感资产，再用后续订单、交付、政策与市场数据确认。与 2026-W29 相比，本周有 3 项操作变化、2 项赛道立场变化。</w:t>
      </w:r>
    </w:p>
    <w:p>
      <w:pPr>
        <w:keepLines/>
      </w:pPr>
      <w:r>
        <w:rPr>
          <w:rFonts w:ascii="Calibri" w:hAnsi="Calibri" w:eastAsia="Hiragino Sans GB"/>
          <w:b w:val="0"/>
          <w:color w:val="5E6268"/>
          <w:sz w:val="22"/>
        </w:rPr>
        <w:t>周报的价值不在于给出更多观点，而在于留下可复查的决策、证据和证伪条件。下一周若触发器没有出现，应降低置信度，而不是用新的叙事延长旧判断。</w:t>
      </w:r>
    </w:p>
    <w:p>
      <w:pPr>
        <w:pStyle w:val="Heading1"/>
      </w:pPr>
      <w:r>
        <w:t>2. 本周操作结论</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850"/>
        <w:gridCol w:w="2050"/>
        <w:gridCol w:w="4200"/>
        <w:gridCol w:w="2260"/>
      </w:tblGrid>
      <w:tr>
        <w:trPr>
          <w:cantSplit/>
          <w:tblHeader w:val="true"/>
        </w:trPr>
        <w:tc>
          <w:tcPr>
            <w:tcW w:type="dxa" w:w="8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ACTION</w:t>
            </w:r>
          </w:p>
        </w:tc>
        <w:tc>
          <w:tcPr>
            <w:tcW w:type="dxa" w:w="20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TARGET</w:t>
            </w:r>
          </w:p>
        </w:tc>
        <w:tc>
          <w:tcPr>
            <w:tcW w:type="dxa" w:w="42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DRIVER / CONFIRMATION</w:t>
            </w:r>
          </w:p>
        </w:tc>
        <w:tc>
          <w:tcPr>
            <w:tcW w:type="dxa" w:w="22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INVALIDATION</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C92A2A"/>
                <w:sz w:val="17"/>
              </w:rPr>
              <w:t>TRIM</w:t>
            </w:r>
          </w:p>
        </w:tc>
        <w:tc>
          <w:tcPr>
            <w:tcW w:type="dxa" w:w="2050"/>
            <w:tcMar>
              <w:top w:w="80" w:type="dxa"/>
              <w:bottom w:w="80" w:type="dxa"/>
              <w:start w:w="120" w:type="dxa"/>
              <w:end w:w="120" w:type="dxa"/>
            </w:tcMar>
            <w:vAlign w:val="top"/>
          </w:tcPr>
          <w:p>
            <w:pPr>
              <w:spacing w:after="40"/>
            </w:pPr>
            <w:hyperlink r:id="rId12">
              <w:r>
                <w:rPr>
                  <w:color w:val="1D5FD1"/>
                  <w:u w:val="single"/>
                  <w:b/>
                  <w:sz w:val="17"/>
                  <w:szCs w:val="17"/>
                  <w:rFonts w:ascii="Calibri" w:hAnsi="Calibri" w:eastAsia="Hiragino Sans GB"/>
                </w:rPr>
                <w:t>AI 算力半导体</w:t>
              </w:r>
            </w:hyperlink>
            <w:r>
              <w:rPr>
                <w:rFonts w:ascii="Calibri" w:hAnsi="Calibri" w:eastAsia="Hiragino Sans GB"/>
                <w:color w:val="5E6268"/>
                <w:sz w:val="15"/>
              </w:rPr>
              <w:br/>
              <w:t>lane · 2026-07-22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AI算力需求仍强，但收益正在从单一加速器向存储、定制芯片和云平台扩散；配置应侧重订单、产品结构和自由现金流，控制估值集中风险。 风险雷达：降权跟踪：适合作为风险雷达，不适合作为无条件加仓理由。 确认：CPI/PCE 与油价是否重新推高实际利率</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3">
              <w:r>
                <w:rPr>
                  <w:color w:val="1D5FD1"/>
                  <w:u w:val="single"/>
                  <w:b/>
                  <w:sz w:val="17"/>
                  <w:szCs w:val="17"/>
                  <w:rFonts w:ascii="Calibri" w:hAnsi="Calibri" w:eastAsia="Hiragino Sans GB"/>
                </w:rPr>
                <w:t>A股红利/硬科技杠铃</w:t>
              </w:r>
            </w:hyperlink>
            <w:r>
              <w:rPr>
                <w:rFonts w:ascii="Calibri" w:hAnsi="Calibri" w:eastAsia="Hiragino Sans GB"/>
                <w:color w:val="5E6268"/>
                <w:sz w:val="15"/>
              </w:rPr>
              <w:br/>
              <w:t>lane · 2026-07-22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确认：融资余额、ETF 申赎和北向资金是否同向</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支持证据停止更新，价格或资金面先于基本面走弱。</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4">
              <w:r>
                <w:rPr>
                  <w:color w:val="1D5FD1"/>
                  <w:u w:val="single"/>
                  <w:b/>
                  <w:sz w:val="17"/>
                  <w:szCs w:val="17"/>
                  <w:rFonts w:ascii="Calibri" w:hAnsi="Calibri" w:eastAsia="Hiragino Sans GB"/>
                </w:rPr>
                <w:t>AI 再通胀/利率敏感资产</w:t>
              </w:r>
            </w:hyperlink>
            <w:r>
              <w:rPr>
                <w:rFonts w:ascii="Calibri" w:hAnsi="Calibri" w:eastAsia="Hiragino Sans GB"/>
                <w:color w:val="5E6268"/>
                <w:sz w:val="15"/>
              </w:rPr>
              <w:br/>
              <w:t>lane · 2026-07-22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确认：CPI/PCE 与油价是否重新推高实际利率</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支持证据停止更新，价格或资金面先于基本面走弱。</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5">
              <w:r>
                <w:rPr>
                  <w:color w:val="1D5FD1"/>
                  <w:u w:val="single"/>
                  <w:b/>
                  <w:sz w:val="17"/>
                  <w:szCs w:val="17"/>
                  <w:rFonts w:ascii="Calibri" w:hAnsi="Calibri" w:eastAsia="Hiragino Sans GB"/>
                </w:rPr>
                <w:t>Mag7 AI 平台再分层</w:t>
              </w:r>
            </w:hyperlink>
            <w:r>
              <w:rPr>
                <w:rFonts w:ascii="Calibri" w:hAnsi="Calibri" w:eastAsia="Hiragino Sans GB"/>
                <w:color w:val="5E6268"/>
                <w:sz w:val="15"/>
              </w:rPr>
              <w:br/>
              <w:t>lane · 2026-07-22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分歧主线：配对验证：这是有投资含义但证据分歧很高的主线，更适合配对验证、分批试错和严格证伪。 确认：云厂商 capex 指引是否继续上修</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6">
              <w:r>
                <w:rPr>
                  <w:color w:val="1D5FD1"/>
                  <w:u w:val="single"/>
                  <w:b/>
                  <w:sz w:val="17"/>
                  <w:szCs w:val="17"/>
                  <w:rFonts w:ascii="Calibri" w:hAnsi="Calibri" w:eastAsia="Hiragino Sans GB"/>
                </w:rPr>
                <w:t>A股硬科技/科创50</w:t>
              </w:r>
            </w:hyperlink>
            <w:r>
              <w:rPr>
                <w:rFonts w:ascii="Calibri" w:hAnsi="Calibri" w:eastAsia="Hiragino Sans GB"/>
                <w:color w:val="5E6268"/>
                <w:sz w:val="15"/>
              </w:rPr>
              <w:br/>
              <w:t>lane · 2026-07-22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分歧主线：配对验证：这是有投资含义但证据分歧很高的主线，更适合配对验证、分批试错和严格证伪。 确认：融资余额、ETF 申赎和北向资金是否同向</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7">
              <w:r>
                <w:rPr>
                  <w:color w:val="1D5FD1"/>
                  <w:u w:val="single"/>
                  <w:b/>
                  <w:sz w:val="17"/>
                  <w:szCs w:val="17"/>
                  <w:rFonts w:ascii="Calibri" w:hAnsi="Calibri" w:eastAsia="Hiragino Sans GB"/>
                </w:rPr>
                <w:t>CPO/光模块/高速互联</w:t>
              </w:r>
            </w:hyperlink>
            <w:r>
              <w:rPr>
                <w:rFonts w:ascii="Calibri" w:hAnsi="Calibri" w:eastAsia="Hiragino Sans GB"/>
                <w:color w:val="5E6268"/>
                <w:sz w:val="15"/>
              </w:rPr>
              <w:br/>
              <w:t>lane · 2026-07-22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确认：云厂商 capex 指引是否继续上修</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8">
              <w:r>
                <w:rPr>
                  <w:color w:val="1D5FD1"/>
                  <w:u w:val="single"/>
                  <w:b/>
                  <w:sz w:val="17"/>
                  <w:szCs w:val="17"/>
                  <w:rFonts w:ascii="Calibri" w:hAnsi="Calibri" w:eastAsia="Hiragino Sans GB"/>
                </w:rPr>
                <w:t>中国权益流动性</w:t>
              </w:r>
            </w:hyperlink>
            <w:r>
              <w:rPr>
                <w:rFonts w:ascii="Calibri" w:hAnsi="Calibri" w:eastAsia="Hiragino Sans GB"/>
                <w:color w:val="5E6268"/>
                <w:sz w:val="15"/>
              </w:rPr>
              <w:br/>
              <w:t>lane · 2026-07-21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确认：期权伽马和 ETF 资金是否放大尾盘流动性</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bl>
    <w:p>
      <w:pPr>
        <w:pStyle w:val="TableCitation"/>
      </w:pPr>
      <w:r>
        <w:t>基于公开研究合约的研究台操作视图，不构成投资建议；完整客观命中率与真实组合交易需要独立 Panorama App/组合账本读取。</w:t>
      </w:r>
    </w:p>
    <w:p>
      <w:pPr>
        <w:pStyle w:val="Heading1"/>
      </w:pPr>
      <w:r>
        <w:t>3. 决策解释：从证据到组合</w:t>
      </w:r>
    </w:p>
    <w:p>
      <w:pPr>
        <w:pStyle w:val="Heading2"/>
        <w:keepNext/>
      </w:pPr>
      <w:r>
        <w:t>01 · TRIM AI 算力半导体：NAND盈利弹性由价格与产品结构主导，而非单纯出货增长</w:t>
      </w:r>
    </w:p>
    <w:p>
      <w:pPr>
        <w:keepLines/>
      </w:pPr>
      <w:r>
        <w:rPr>
          <w:rFonts w:ascii="Calibri" w:hAnsi="Calibri" w:eastAsia="Hiragino Sans GB"/>
          <w:b w:val="0"/>
          <w:color w:val="111111"/>
          <w:sz w:val="22"/>
        </w:rPr>
        <w:t>AI算力需求仍强，但收益正在从单一加速器向存储、定制芯片和云平台扩散；配置应侧重订单、产品结构和自由现金流，控制估值集中风险。 风险雷达：降权跟踪：适合作为风险雷达，不适合作为无条件加仓理由。 本周证据账本把该判断连接到 5 份公开报告；其有效性仍取决于“CPI/PCE 与油价是否重新推高实际利率”。</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在 AI 算力半导体 内优先保留证据与兑现路径清晰的标的，并按证伪条件控制暴露。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19">
        <w:r>
          <w:rPr>
            <w:color w:val="1D5FD1"/>
            <w:u w:val="single"/>
            <w:sz w:val="17"/>
            <w:szCs w:val="17"/>
            <w:rFonts w:ascii="Calibri" w:hAnsi="Calibri" w:eastAsia="Hiragino Sans GB"/>
          </w:rPr>
          <w:t>R1</w:t>
        </w:r>
      </w:hyperlink>
      <w:r>
        <w:t xml:space="preserve"> · </w:t>
      </w:r>
      <w:hyperlink r:id="rId20">
        <w:r>
          <w:rPr>
            <w:color w:val="1D5FD1"/>
            <w:u w:val="single"/>
            <w:sz w:val="17"/>
            <w:szCs w:val="17"/>
            <w:rFonts w:ascii="Calibri" w:hAnsi="Calibri" w:eastAsia="Hiragino Sans GB"/>
          </w:rPr>
          <w:t>R2</w:t>
        </w:r>
      </w:hyperlink>
      <w:r>
        <w:t xml:space="preserve"> · </w:t>
      </w:r>
      <w:hyperlink r:id="rId21">
        <w:r>
          <w:rPr>
            <w:color w:val="1D5FD1"/>
            <w:u w:val="single"/>
            <w:sz w:val="17"/>
            <w:szCs w:val="17"/>
            <w:rFonts w:ascii="Calibri" w:hAnsi="Calibri" w:eastAsia="Hiragino Sans GB"/>
          </w:rPr>
          <w:t>R3</w:t>
        </w:r>
      </w:hyperlink>
      <w:r>
        <w:t xml:space="preserve"> · </w:t>
      </w:r>
      <w:hyperlink r:id="rId22">
        <w:r>
          <w:rPr>
            <w:color w:val="1D5FD1"/>
            <w:u w:val="single"/>
            <w:sz w:val="17"/>
            <w:szCs w:val="17"/>
            <w:rFonts w:ascii="Calibri" w:hAnsi="Calibri" w:eastAsia="Hiragino Sans GB"/>
          </w:rPr>
          <w:t>对应 Thesis</w:t>
        </w:r>
      </w:hyperlink>
    </w:p>
    <w:p>
      <w:pPr>
        <w:pStyle w:val="Heading2"/>
        <w:keepNext/>
      </w:pPr>
      <w:r>
        <w:t>02 · HOLD A股红利/硬科技杠铃：A 股红利与硬科技杠铃仍是政策、利率和风险偏好的组合表达</w:t>
      </w:r>
    </w:p>
    <w:p>
      <w:pPr>
        <w:keepLines/>
      </w:pPr>
      <w:r>
        <w:rPr>
          <w:rFonts w:ascii="Calibri" w:hAnsi="Calibri" w:eastAsia="Hiragino Sans GB"/>
          <w:b w:val="0"/>
          <w:color w:val="111111"/>
          <w:sz w:val="22"/>
        </w:rPr>
        <w:t>观察等待：先放入观察池，只在证据密度和价格确认同时改善时进入组合。 本周证据账本把该判断连接到 5 份公开报告；其有效性仍取决于“融资余额、ETF 申赎和北向资金是否同向”。</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在 A股红利/硬科技杠铃 内优先保留证据与兑现路径清晰的标的，并按证伪条件控制暴露。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支持证据停止更新，价格或资金面先于基本面走弱。</w:t>
            </w:r>
          </w:p>
        </w:tc>
      </w:tr>
    </w:tbl>
    <w:p>
      <w:pPr>
        <w:pStyle w:val="TableCitation"/>
      </w:pPr>
      <w:r>
        <w:t>证据：</w:t>
      </w:r>
      <w:hyperlink r:id="rId23">
        <w:r>
          <w:rPr>
            <w:color w:val="1D5FD1"/>
            <w:u w:val="single"/>
            <w:sz w:val="17"/>
            <w:szCs w:val="17"/>
            <w:rFonts w:ascii="Calibri" w:hAnsi="Calibri" w:eastAsia="Hiragino Sans GB"/>
          </w:rPr>
          <w:t>R1</w:t>
        </w:r>
      </w:hyperlink>
      <w:r>
        <w:t xml:space="preserve"> · </w:t>
      </w:r>
      <w:hyperlink r:id="rId24">
        <w:r>
          <w:rPr>
            <w:color w:val="1D5FD1"/>
            <w:u w:val="single"/>
            <w:sz w:val="17"/>
            <w:szCs w:val="17"/>
            <w:rFonts w:ascii="Calibri" w:hAnsi="Calibri" w:eastAsia="Hiragino Sans GB"/>
          </w:rPr>
          <w:t>R2</w:t>
        </w:r>
      </w:hyperlink>
      <w:r>
        <w:t xml:space="preserve"> · </w:t>
      </w:r>
      <w:hyperlink r:id="rId25">
        <w:r>
          <w:rPr>
            <w:color w:val="1D5FD1"/>
            <w:u w:val="single"/>
            <w:sz w:val="17"/>
            <w:szCs w:val="17"/>
            <w:rFonts w:ascii="Calibri" w:hAnsi="Calibri" w:eastAsia="Hiragino Sans GB"/>
          </w:rPr>
          <w:t>R3</w:t>
        </w:r>
      </w:hyperlink>
      <w:r>
        <w:t xml:space="preserve"> · </w:t>
      </w:r>
      <w:hyperlink r:id="rId26">
        <w:r>
          <w:rPr>
            <w:color w:val="1D5FD1"/>
            <w:u w:val="single"/>
            <w:sz w:val="17"/>
            <w:szCs w:val="17"/>
            <w:rFonts w:ascii="Calibri" w:hAnsi="Calibri" w:eastAsia="Hiragino Sans GB"/>
          </w:rPr>
          <w:t>对应 Thesis</w:t>
        </w:r>
      </w:hyperlink>
    </w:p>
    <w:p>
      <w:pPr>
        <w:pStyle w:val="Heading2"/>
        <w:keepNext/>
      </w:pPr>
      <w:r>
        <w:t>03 · HOLD AI 再通胀/利率敏感资产：AI 资本开支通过能源、设备和利率进入通胀定价</w:t>
      </w:r>
    </w:p>
    <w:p>
      <w:pPr>
        <w:keepLines/>
      </w:pPr>
      <w:r>
        <w:rPr>
          <w:rFonts w:ascii="Calibri" w:hAnsi="Calibri" w:eastAsia="Hiragino Sans GB"/>
          <w:b w:val="0"/>
          <w:color w:val="111111"/>
          <w:sz w:val="22"/>
        </w:rPr>
        <w:t>观察等待：先放入观察池，只在证据密度和价格确认同时改善时进入组合。 本周证据账本把该判断连接到 5 份公开报告；其有效性仍取决于“CPI/PCE 与油价是否重新推高实际利率”。</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在 AI 再通胀/利率敏感资产 内优先保留证据与兑现路径清晰的标的，并按证伪条件控制暴露。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支持证据停止更新，价格或资金面先于基本面走弱。</w:t>
            </w:r>
          </w:p>
        </w:tc>
      </w:tr>
    </w:tbl>
    <w:p>
      <w:pPr>
        <w:pStyle w:val="TableCitation"/>
      </w:pPr>
      <w:r>
        <w:t>证据：</w:t>
      </w:r>
      <w:hyperlink r:id="rId27">
        <w:r>
          <w:rPr>
            <w:color w:val="1D5FD1"/>
            <w:u w:val="single"/>
            <w:sz w:val="17"/>
            <w:szCs w:val="17"/>
            <w:rFonts w:ascii="Calibri" w:hAnsi="Calibri" w:eastAsia="Hiragino Sans GB"/>
          </w:rPr>
          <w:t>R1</w:t>
        </w:r>
      </w:hyperlink>
      <w:r>
        <w:t xml:space="preserve"> · </w:t>
      </w:r>
      <w:hyperlink r:id="rId28">
        <w:r>
          <w:rPr>
            <w:color w:val="1D5FD1"/>
            <w:u w:val="single"/>
            <w:sz w:val="17"/>
            <w:szCs w:val="17"/>
            <w:rFonts w:ascii="Calibri" w:hAnsi="Calibri" w:eastAsia="Hiragino Sans GB"/>
          </w:rPr>
          <w:t>R2</w:t>
        </w:r>
      </w:hyperlink>
      <w:r>
        <w:t xml:space="preserve"> · </w:t>
      </w:r>
      <w:hyperlink r:id="rId29">
        <w:r>
          <w:rPr>
            <w:color w:val="1D5FD1"/>
            <w:u w:val="single"/>
            <w:sz w:val="17"/>
            <w:szCs w:val="17"/>
            <w:rFonts w:ascii="Calibri" w:hAnsi="Calibri" w:eastAsia="Hiragino Sans GB"/>
          </w:rPr>
          <w:t>R3</w:t>
        </w:r>
      </w:hyperlink>
      <w:r>
        <w:t xml:space="preserve"> · </w:t>
      </w:r>
      <w:hyperlink r:id="rId30">
        <w:r>
          <w:rPr>
            <w:color w:val="1D5FD1"/>
            <w:u w:val="single"/>
            <w:sz w:val="17"/>
            <w:szCs w:val="17"/>
            <w:rFonts w:ascii="Calibri" w:hAnsi="Calibri" w:eastAsia="Hiragino Sans GB"/>
          </w:rPr>
          <w:t>对应 Thesis</w:t>
        </w:r>
      </w:hyperlink>
    </w:p>
    <w:p>
      <w:pPr>
        <w:pStyle w:val="Heading2"/>
        <w:keepNext/>
      </w:pPr>
      <w:r>
        <w:t>04 · HOLD Mag7 AI 平台再分层：Mag7 在 AI 时代从平台垄断转向基础设施再分层</w:t>
      </w:r>
    </w:p>
    <w:p>
      <w:pPr>
        <w:keepLines/>
      </w:pPr>
      <w:r>
        <w:rPr>
          <w:rFonts w:ascii="Calibri" w:hAnsi="Calibri" w:eastAsia="Hiragino Sans GB"/>
          <w:b w:val="0"/>
          <w:color w:val="111111"/>
          <w:sz w:val="22"/>
        </w:rPr>
        <w:t>分歧主线：配对验证：这是有投资含义但证据分歧很高的主线，更适合配对验证、分批试错和严格证伪。 本周证据账本把该判断连接到 5 份公开报告；其有效性仍取决于“云厂商 capex 指引是否继续上修”。</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在 Mag7 AI 平台再分层 内优先保留证据与兑现路径清晰的标的，并按证伪条件控制暴露。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21">
        <w:r>
          <w:rPr>
            <w:color w:val="1D5FD1"/>
            <w:u w:val="single"/>
            <w:sz w:val="17"/>
            <w:szCs w:val="17"/>
            <w:rFonts w:ascii="Calibri" w:hAnsi="Calibri" w:eastAsia="Hiragino Sans GB"/>
          </w:rPr>
          <w:t>R1</w:t>
        </w:r>
      </w:hyperlink>
      <w:r>
        <w:t xml:space="preserve"> · </w:t>
      </w:r>
      <w:hyperlink r:id="rId19">
        <w:r>
          <w:rPr>
            <w:color w:val="1D5FD1"/>
            <w:u w:val="single"/>
            <w:sz w:val="17"/>
            <w:szCs w:val="17"/>
            <w:rFonts w:ascii="Calibri" w:hAnsi="Calibri" w:eastAsia="Hiragino Sans GB"/>
          </w:rPr>
          <w:t>R2</w:t>
        </w:r>
      </w:hyperlink>
      <w:r>
        <w:t xml:space="preserve"> · </w:t>
      </w:r>
      <w:hyperlink r:id="rId31">
        <w:r>
          <w:rPr>
            <w:color w:val="1D5FD1"/>
            <w:u w:val="single"/>
            <w:sz w:val="17"/>
            <w:szCs w:val="17"/>
            <w:rFonts w:ascii="Calibri" w:hAnsi="Calibri" w:eastAsia="Hiragino Sans GB"/>
          </w:rPr>
          <w:t>R3</w:t>
        </w:r>
      </w:hyperlink>
      <w:r>
        <w:t xml:space="preserve"> · </w:t>
      </w:r>
      <w:hyperlink r:id="rId32">
        <w:r>
          <w:rPr>
            <w:color w:val="1D5FD1"/>
            <w:u w:val="single"/>
            <w:sz w:val="17"/>
            <w:szCs w:val="17"/>
            <w:rFonts w:ascii="Calibri" w:hAnsi="Calibri" w:eastAsia="Hiragino Sans GB"/>
          </w:rPr>
          <w:t>对应 Thesis</w:t>
        </w:r>
      </w:hyperlink>
    </w:p>
    <w:p>
      <w:pPr>
        <w:pStyle w:val="Heading2"/>
        <w:keepNext/>
      </w:pPr>
      <w:r>
        <w:t>05 · HOLD A股硬科技/科创50：A 股硬科技与科创50的复苏需要订单、融资盘和指数结构共振</w:t>
      </w:r>
    </w:p>
    <w:p>
      <w:pPr>
        <w:keepLines/>
      </w:pPr>
      <w:r>
        <w:rPr>
          <w:rFonts w:ascii="Calibri" w:hAnsi="Calibri" w:eastAsia="Hiragino Sans GB"/>
          <w:b w:val="0"/>
          <w:color w:val="111111"/>
          <w:sz w:val="22"/>
        </w:rPr>
        <w:t>分歧主线：配对验证：这是有投资含义但证据分歧很高的主线，更适合配对验证、分批试错和严格证伪。 本周证据账本把该判断连接到 5 份公开报告；其有效性仍取决于“融资余额、ETF 申赎和北向资金是否同向”。</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在 A股硬科技/科创50 内优先保留证据与兑现路径清晰的标的，并按证伪条件控制暴露。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33">
        <w:r>
          <w:rPr>
            <w:color w:val="1D5FD1"/>
            <w:u w:val="single"/>
            <w:sz w:val="17"/>
            <w:szCs w:val="17"/>
            <w:rFonts w:ascii="Calibri" w:hAnsi="Calibri" w:eastAsia="Hiragino Sans GB"/>
          </w:rPr>
          <w:t>R1</w:t>
        </w:r>
      </w:hyperlink>
      <w:r>
        <w:t xml:space="preserve"> · </w:t>
      </w:r>
      <w:hyperlink r:id="rId34">
        <w:r>
          <w:rPr>
            <w:color w:val="1D5FD1"/>
            <w:u w:val="single"/>
            <w:sz w:val="17"/>
            <w:szCs w:val="17"/>
            <w:rFonts w:ascii="Calibri" w:hAnsi="Calibri" w:eastAsia="Hiragino Sans GB"/>
          </w:rPr>
          <w:t>R2</w:t>
        </w:r>
      </w:hyperlink>
      <w:r>
        <w:t xml:space="preserve"> · </w:t>
      </w:r>
      <w:hyperlink r:id="rId35">
        <w:r>
          <w:rPr>
            <w:color w:val="1D5FD1"/>
            <w:u w:val="single"/>
            <w:sz w:val="17"/>
            <w:szCs w:val="17"/>
            <w:rFonts w:ascii="Calibri" w:hAnsi="Calibri" w:eastAsia="Hiragino Sans GB"/>
          </w:rPr>
          <w:t>R3</w:t>
        </w:r>
      </w:hyperlink>
      <w:r>
        <w:t xml:space="preserve"> · </w:t>
      </w:r>
      <w:hyperlink r:id="rId36">
        <w:r>
          <w:rPr>
            <w:color w:val="1D5FD1"/>
            <w:u w:val="single"/>
            <w:sz w:val="17"/>
            <w:szCs w:val="17"/>
            <w:rFonts w:ascii="Calibri" w:hAnsi="Calibri" w:eastAsia="Hiragino Sans GB"/>
          </w:rPr>
          <w:t>对应 Thesis</w:t>
        </w:r>
      </w:hyperlink>
    </w:p>
    <w:p>
      <w:pPr>
        <w:pStyle w:val="Heading2"/>
        <w:keepNext/>
      </w:pPr>
      <w:r>
        <w:t>06 · HOLD CPO/光模块/高速互联：CPO、光互联与铜连接决定 AI 集群内部租金迁移</w:t>
      </w:r>
    </w:p>
    <w:p>
      <w:pPr>
        <w:keepLines/>
      </w:pPr>
      <w:r>
        <w:rPr>
          <w:rFonts w:ascii="Calibri" w:hAnsi="Calibri" w:eastAsia="Hiragino Sans GB"/>
          <w:b w:val="0"/>
          <w:color w:val="111111"/>
          <w:sz w:val="22"/>
        </w:rPr>
        <w:t>观察等待：先放入观察池，只在证据密度和价格确认同时改善时进入组合。 本周证据账本把该判断连接到 5 份公开报告；其有效性仍取决于“云厂商 capex 指引是否继续上修”。</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在 CPO/光模块/高速互联 内优先保留证据与兑现路径清晰的标的，并按证伪条件控制暴露。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33">
        <w:r>
          <w:rPr>
            <w:color w:val="1D5FD1"/>
            <w:u w:val="single"/>
            <w:sz w:val="17"/>
            <w:szCs w:val="17"/>
            <w:rFonts w:ascii="Calibri" w:hAnsi="Calibri" w:eastAsia="Hiragino Sans GB"/>
          </w:rPr>
          <w:t>R1</w:t>
        </w:r>
      </w:hyperlink>
      <w:r>
        <w:t xml:space="preserve"> · </w:t>
      </w:r>
      <w:hyperlink r:id="rId34">
        <w:r>
          <w:rPr>
            <w:color w:val="1D5FD1"/>
            <w:u w:val="single"/>
            <w:sz w:val="17"/>
            <w:szCs w:val="17"/>
            <w:rFonts w:ascii="Calibri" w:hAnsi="Calibri" w:eastAsia="Hiragino Sans GB"/>
          </w:rPr>
          <w:t>R2</w:t>
        </w:r>
      </w:hyperlink>
      <w:r>
        <w:t xml:space="preserve"> · </w:t>
      </w:r>
      <w:hyperlink r:id="rId35">
        <w:r>
          <w:rPr>
            <w:color w:val="1D5FD1"/>
            <w:u w:val="single"/>
            <w:sz w:val="17"/>
            <w:szCs w:val="17"/>
            <w:rFonts w:ascii="Calibri" w:hAnsi="Calibri" w:eastAsia="Hiragino Sans GB"/>
          </w:rPr>
          <w:t>R3</w:t>
        </w:r>
      </w:hyperlink>
      <w:r>
        <w:t xml:space="preserve"> · </w:t>
      </w:r>
      <w:hyperlink r:id="rId37">
        <w:r>
          <w:rPr>
            <w:color w:val="1D5FD1"/>
            <w:u w:val="single"/>
            <w:sz w:val="17"/>
            <w:szCs w:val="17"/>
            <w:rFonts w:ascii="Calibri" w:hAnsi="Calibri" w:eastAsia="Hiragino Sans GB"/>
          </w:rPr>
          <w:t>对应 Thesis</w:t>
        </w:r>
      </w:hyperlink>
    </w:p>
    <w:p>
      <w:pPr>
        <w:pStyle w:val="Heading1"/>
      </w:pPr>
      <w:r>
        <w:t>4. 本周真正改变了什么</w:t>
      </w:r>
    </w:p>
    <w:p>
      <w:pPr>
        <w:keepNext/>
      </w:pPr>
      <w:r>
        <w:rPr>
          <w:rFonts w:ascii="Calibri" w:hAnsi="Calibri" w:eastAsia="Hiragino Sans GB"/>
          <w:b/>
          <w:color w:val="D85B16"/>
          <w:sz w:val="18"/>
        </w:rPr>
        <w:t xml:space="preserve">01  SPLIT  </w:t>
      </w:r>
      <w:r>
        <w:rPr>
          <w:rFonts w:ascii="Calibri" w:hAnsi="Calibri" w:eastAsia="Hiragino Sans GB"/>
          <w:b/>
          <w:color w:val="111111"/>
          <w:sz w:val="22"/>
        </w:rPr>
        <w:t>主线进一步集中到 A股红利/硬科技杠铃</w:t>
      </w:r>
    </w:p>
    <w:p>
      <w:pPr>
        <w:keepLines w:val="0"/>
      </w:pPr>
      <w:r>
        <w:rPr>
          <w:rFonts w:ascii="Calibri" w:hAnsi="Calibri" w:eastAsia="Hiragino Sans GB"/>
          <w:b w:val="0"/>
          <w:color w:val="111111"/>
          <w:sz w:val="22"/>
        </w:rPr>
        <w:t>赛道：A股红利/硬科技杠铃。候选观察标的：510880.SH, 601398.SH, 600900.SH, 601088.SH, 600941.SH, 588000.SH, 688981.SH。当前共有 40 条证据、2 位分析师和 6 条风险信号指向该判断；主导链条为 宏观通胀传导。该主题应作为可跟踪投资假设，而不是孤立结论。 本周新增 8 条主线事件，其中支持 7 条、风险 1 条；当前组合含义是 先放入观察池，只在证据密度和价格确认同时改善时进入组合。</w:t>
      </w:r>
    </w:p>
    <w:p>
      <w:pPr>
        <w:pStyle w:val="TableCitation"/>
      </w:pPr>
      <w:r>
        <w:t>关联标的：</w:t>
      </w:r>
      <w:hyperlink r:id="rId38">
        <w:r>
          <w:rPr>
            <w:color w:val="1D5FD1"/>
            <w:u w:val="single"/>
            <w:sz w:val="17"/>
            <w:szCs w:val="17"/>
            <w:rFonts w:ascii="Calibri" w:hAnsi="Calibri" w:eastAsia="Hiragino Sans GB"/>
          </w:rPr>
          <w:t>600900.SH</w:t>
        </w:r>
      </w:hyperlink>
      <w:r>
        <w:t xml:space="preserve"> · </w:t>
      </w:r>
      <w:hyperlink r:id="rId39">
        <w:r>
          <w:rPr>
            <w:color w:val="1D5FD1"/>
            <w:u w:val="single"/>
            <w:sz w:val="17"/>
            <w:szCs w:val="17"/>
            <w:rFonts w:ascii="Calibri" w:hAnsi="Calibri" w:eastAsia="Hiragino Sans GB"/>
          </w:rPr>
          <w:t>601398.SH</w:t>
        </w:r>
      </w:hyperlink>
      <w:r>
        <w:t xml:space="preserve"> · </w:t>
      </w:r>
      <w:hyperlink r:id="rId40">
        <w:r>
          <w:rPr>
            <w:color w:val="1D5FD1"/>
            <w:u w:val="single"/>
            <w:sz w:val="17"/>
            <w:szCs w:val="17"/>
            <w:rFonts w:ascii="Calibri" w:hAnsi="Calibri" w:eastAsia="Hiragino Sans GB"/>
          </w:rPr>
          <w:t>601088.SH</w:t>
        </w:r>
      </w:hyperlink>
      <w:r>
        <w:t xml:space="preserve"> · </w:t>
      </w:r>
      <w:hyperlink r:id="rId41">
        <w:r>
          <w:rPr>
            <w:color w:val="1D5FD1"/>
            <w:u w:val="single"/>
            <w:sz w:val="17"/>
            <w:szCs w:val="17"/>
            <w:rFonts w:ascii="Calibri" w:hAnsi="Calibri" w:eastAsia="Hiragino Sans GB"/>
          </w:rPr>
          <w:t>600941.SH</w:t>
        </w:r>
      </w:hyperlink>
      <w:r>
        <w:t xml:space="preserve"> · </w:t>
      </w:r>
      <w:hyperlink r:id="rId42">
        <w:r>
          <w:rPr>
            <w:color w:val="1D5FD1"/>
            <w:u w:val="single"/>
            <w:sz w:val="17"/>
            <w:szCs w:val="17"/>
            <w:rFonts w:ascii="Calibri" w:hAnsi="Calibri" w:eastAsia="Hiragino Sans GB"/>
          </w:rPr>
          <w:t>588000.SH</w:t>
        </w:r>
      </w:hyperlink>
      <w:r>
        <w:t xml:space="preserve"> · </w:t>
      </w:r>
      <w:hyperlink r:id="rId43">
        <w:r>
          <w:rPr>
            <w:color w:val="1D5FD1"/>
            <w:u w:val="single"/>
            <w:sz w:val="17"/>
            <w:szCs w:val="17"/>
            <w:rFonts w:ascii="Calibri" w:hAnsi="Calibri" w:eastAsia="Hiragino Sans GB"/>
          </w:rPr>
          <w:t>688981.SH</w:t>
        </w:r>
      </w:hyperlink>
    </w:p>
    <w:p>
      <w:pPr>
        <w:keepNext/>
      </w:pPr>
      <w:r>
        <w:rPr>
          <w:rFonts w:ascii="Calibri" w:hAnsi="Calibri" w:eastAsia="Hiragino Sans GB"/>
          <w:b/>
          <w:color w:val="D85B16"/>
          <w:sz w:val="18"/>
        </w:rPr>
        <w:t xml:space="preserve">02  WEAKENED  </w:t>
      </w:r>
      <w:r>
        <w:rPr>
          <w:rFonts w:ascii="Calibri" w:hAnsi="Calibri" w:eastAsia="Hiragino Sans GB"/>
          <w:b/>
          <w:color w:val="111111"/>
          <w:sz w:val="22"/>
        </w:rPr>
        <w:t>AI 资本开支通过能源、设备和利率进入通胀定价 的本周证据更新</w:t>
      </w:r>
    </w:p>
    <w:p>
      <w:pPr>
        <w:keepLines w:val="0"/>
      </w:pPr>
      <w:r>
        <w:rPr>
          <w:rFonts w:ascii="Calibri" w:hAnsi="Calibri" w:eastAsia="Hiragino Sans GB"/>
          <w:b w:val="0"/>
          <w:color w:val="111111"/>
          <w:sz w:val="22"/>
        </w:rPr>
        <w:t>赛道：AI 再通胀/利率敏感资产。候选观察标的：XLE, XLU, TLT, GLD, JPM, NEE。当前共有 40 条证据、3 位分析师和 8 条风险信号指向该判断；主导链条为 宏观通胀传导。该主题应作为可跟踪投资假设，而不是孤立结论。 本周新增 8 条主线事件，其中支持 2 条、风险 6 条；当前组合含义是 先放入观察池，只在证据密度和价格确认同时改善时进入组合。</w:t>
      </w:r>
    </w:p>
    <w:p>
      <w:pPr>
        <w:pStyle w:val="TableCitation"/>
      </w:pPr>
      <w:r>
        <w:t>关联标的：</w:t>
      </w:r>
      <w:hyperlink r:id="rId44">
        <w:r>
          <w:rPr>
            <w:color w:val="1D5FD1"/>
            <w:u w:val="single"/>
            <w:sz w:val="17"/>
            <w:szCs w:val="17"/>
            <w:rFonts w:ascii="Calibri" w:hAnsi="Calibri" w:eastAsia="Hiragino Sans GB"/>
          </w:rPr>
          <w:t>XLU</w:t>
        </w:r>
      </w:hyperlink>
      <w:r>
        <w:t xml:space="preserve"> · </w:t>
      </w:r>
      <w:hyperlink r:id="rId45">
        <w:r>
          <w:rPr>
            <w:color w:val="1D5FD1"/>
            <w:u w:val="single"/>
            <w:sz w:val="17"/>
            <w:szCs w:val="17"/>
            <w:rFonts w:ascii="Calibri" w:hAnsi="Calibri" w:eastAsia="Hiragino Sans GB"/>
          </w:rPr>
          <w:t>XLE</w:t>
        </w:r>
      </w:hyperlink>
      <w:r>
        <w:t xml:space="preserve"> · </w:t>
      </w:r>
      <w:hyperlink r:id="rId46">
        <w:r>
          <w:rPr>
            <w:color w:val="1D5FD1"/>
            <w:u w:val="single"/>
            <w:sz w:val="17"/>
            <w:szCs w:val="17"/>
            <w:rFonts w:ascii="Calibri" w:hAnsi="Calibri" w:eastAsia="Hiragino Sans GB"/>
          </w:rPr>
          <w:t>META</w:t>
        </w:r>
      </w:hyperlink>
      <w:r>
        <w:t xml:space="preserve"> · </w:t>
      </w:r>
      <w:hyperlink r:id="rId47">
        <w:r>
          <w:rPr>
            <w:color w:val="1D5FD1"/>
            <w:u w:val="single"/>
            <w:sz w:val="17"/>
            <w:szCs w:val="17"/>
            <w:rFonts w:ascii="Calibri" w:hAnsi="Calibri" w:eastAsia="Hiragino Sans GB"/>
          </w:rPr>
          <w:t>TLT</w:t>
        </w:r>
      </w:hyperlink>
      <w:r>
        <w:t xml:space="preserve"> · </w:t>
      </w:r>
      <w:hyperlink r:id="rId48">
        <w:r>
          <w:rPr>
            <w:color w:val="1D5FD1"/>
            <w:u w:val="single"/>
            <w:sz w:val="17"/>
            <w:szCs w:val="17"/>
            <w:rFonts w:ascii="Calibri" w:hAnsi="Calibri" w:eastAsia="Hiragino Sans GB"/>
          </w:rPr>
          <w:t>MSFT</w:t>
        </w:r>
      </w:hyperlink>
      <w:r>
        <w:t xml:space="preserve"> · </w:t>
      </w:r>
      <w:hyperlink r:id="rId38">
        <w:r>
          <w:rPr>
            <w:color w:val="1D5FD1"/>
            <w:u w:val="single"/>
            <w:sz w:val="17"/>
            <w:szCs w:val="17"/>
            <w:rFonts w:ascii="Calibri" w:hAnsi="Calibri" w:eastAsia="Hiragino Sans GB"/>
          </w:rPr>
          <w:t>600900.SH</w:t>
        </w:r>
      </w:hyperlink>
    </w:p>
    <w:p>
      <w:pPr>
        <w:keepNext/>
      </w:pPr>
      <w:r>
        <w:rPr>
          <w:rFonts w:ascii="Calibri" w:hAnsi="Calibri" w:eastAsia="Hiragino Sans GB"/>
          <w:b/>
          <w:color w:val="D85B16"/>
          <w:sz w:val="18"/>
        </w:rPr>
        <w:t xml:space="preserve">03  WEAKENED  </w:t>
      </w:r>
      <w:r>
        <w:rPr>
          <w:rFonts w:ascii="Calibri" w:hAnsi="Calibri" w:eastAsia="Hiragino Sans GB"/>
          <w:b/>
          <w:color w:val="111111"/>
          <w:sz w:val="22"/>
        </w:rPr>
        <w:t>NAND盈利弹性由价格与产品结构主导，而非单纯出货增长 的本周证据更新</w:t>
      </w:r>
    </w:p>
    <w:p>
      <w:pPr>
        <w:keepLines w:val="0"/>
      </w:pPr>
      <w:r>
        <w:rPr>
          <w:rFonts w:ascii="Calibri" w:hAnsi="Calibri" w:eastAsia="Hiragino Sans GB"/>
          <w:b w:val="0"/>
          <w:color w:val="111111"/>
          <w:sz w:val="22"/>
        </w:rPr>
        <w:t>SanDisk的盈利修复主要来自NAND单位价格上行和产品结构改善，而非位元出货扩张。若AI及企业存储需求维持、行业供给纪律未被破坏，利润率可保持韧性；若新增供给推动价格回落，盈利弹性将快速反转。 本周新增 8 条主线事件，其中支持 3 条、风险 5 条；当前组合含义是 适合作为风险雷达，不适合作为无条件加仓理由。</w:t>
      </w:r>
    </w:p>
    <w:p>
      <w:pPr>
        <w:pStyle w:val="TableCitation"/>
      </w:pPr>
      <w:r>
        <w:t>关联标的：</w:t>
      </w:r>
      <w:hyperlink r:id="rId49">
        <w:r>
          <w:rPr>
            <w:color w:val="1D5FD1"/>
            <w:u w:val="single"/>
            <w:sz w:val="17"/>
            <w:szCs w:val="17"/>
            <w:rFonts w:ascii="Calibri" w:hAnsi="Calibri" w:eastAsia="Hiragino Sans GB"/>
          </w:rPr>
          <w:t>NVDA</w:t>
        </w:r>
      </w:hyperlink>
      <w:r>
        <w:t xml:space="preserve"> · </w:t>
      </w:r>
      <w:hyperlink r:id="rId50">
        <w:r>
          <w:rPr>
            <w:color w:val="1D5FD1"/>
            <w:u w:val="single"/>
            <w:sz w:val="17"/>
            <w:szCs w:val="17"/>
            <w:rFonts w:ascii="Calibri" w:hAnsi="Calibri" w:eastAsia="Hiragino Sans GB"/>
          </w:rPr>
          <w:t>TSM</w:t>
        </w:r>
      </w:hyperlink>
      <w:r>
        <w:t xml:space="preserve"> · </w:t>
      </w:r>
      <w:hyperlink r:id="rId51">
        <w:r>
          <w:rPr>
            <w:color w:val="1D5FD1"/>
            <w:u w:val="single"/>
            <w:sz w:val="17"/>
            <w:szCs w:val="17"/>
            <w:rFonts w:ascii="Calibri" w:hAnsi="Calibri" w:eastAsia="Hiragino Sans GB"/>
          </w:rPr>
          <w:t>MU</w:t>
        </w:r>
      </w:hyperlink>
      <w:r>
        <w:t xml:space="preserve"> · </w:t>
      </w:r>
      <w:hyperlink r:id="rId52">
        <w:r>
          <w:rPr>
            <w:color w:val="1D5FD1"/>
            <w:u w:val="single"/>
            <w:sz w:val="17"/>
            <w:szCs w:val="17"/>
            <w:rFonts w:ascii="Calibri" w:hAnsi="Calibri" w:eastAsia="Hiragino Sans GB"/>
          </w:rPr>
          <w:t>000660.KS</w:t>
        </w:r>
      </w:hyperlink>
      <w:r>
        <w:t xml:space="preserve"> · </w:t>
      </w:r>
      <w:hyperlink r:id="rId46">
        <w:r>
          <w:rPr>
            <w:color w:val="1D5FD1"/>
            <w:u w:val="single"/>
            <w:sz w:val="17"/>
            <w:szCs w:val="17"/>
            <w:rFonts w:ascii="Calibri" w:hAnsi="Calibri" w:eastAsia="Hiragino Sans GB"/>
          </w:rPr>
          <w:t>META</w:t>
        </w:r>
      </w:hyperlink>
      <w:r>
        <w:t xml:space="preserve"> · </w:t>
      </w:r>
      <w:hyperlink r:id="rId53">
        <w:r>
          <w:rPr>
            <w:color w:val="1D5FD1"/>
            <w:u w:val="single"/>
            <w:sz w:val="17"/>
            <w:szCs w:val="17"/>
            <w:rFonts w:ascii="Calibri" w:hAnsi="Calibri" w:eastAsia="Hiragino Sans GB"/>
          </w:rPr>
          <w:t>AMD</w:t>
        </w:r>
      </w:hyperlink>
    </w:p>
    <w:p>
      <w:pPr>
        <w:keepNext/>
      </w:pPr>
      <w:r>
        <w:rPr>
          <w:rFonts w:ascii="Calibri" w:hAnsi="Calibri" w:eastAsia="Hiragino Sans GB"/>
          <w:b/>
          <w:color w:val="D85B16"/>
          <w:sz w:val="18"/>
        </w:rPr>
        <w:t xml:space="preserve">04  WEAKENED  </w:t>
      </w:r>
      <w:r>
        <w:rPr>
          <w:rFonts w:ascii="Calibri" w:hAnsi="Calibri" w:eastAsia="Hiragino Sans GB"/>
          <w:b/>
          <w:color w:val="111111"/>
          <w:sz w:val="22"/>
        </w:rPr>
        <w:t>Mag7 在 AI 时代从平台垄断转向基础设施再分层 的本周证据更新</w:t>
      </w:r>
    </w:p>
    <w:p>
      <w:pPr>
        <w:keepLines w:val="0"/>
      </w:pPr>
      <w:r>
        <w:rPr>
          <w:rFonts w:ascii="Calibri" w:hAnsi="Calibri" w:eastAsia="Hiragino Sans GB"/>
          <w:b w:val="0"/>
          <w:color w:val="111111"/>
          <w:sz w:val="22"/>
        </w:rPr>
        <w:t>赛道：Mag7 AI 平台再分层。候选观察标的：MSFT, AAPL, TSLA, META, AMZN, GOOGL, NVDA。当前共有 40 条证据、4 位分析师和 8 条风险信号指向该判断；主导链条为 AI 基础设施。该主题应作为可跟踪投资假设，而不是孤立结论。 本周新增 8 条主线事件，其中支持 1 条、风险 7 条；当前组合含义是 这是有投资含义但证据分歧很高的主线，更适合配对验证、分批试错和严格证伪。</w:t>
      </w:r>
    </w:p>
    <w:p>
      <w:pPr>
        <w:pStyle w:val="TableCitation"/>
      </w:pPr>
      <w:r>
        <w:t>关联标的：</w:t>
      </w:r>
      <w:hyperlink r:id="rId46">
        <w:r>
          <w:rPr>
            <w:color w:val="1D5FD1"/>
            <w:u w:val="single"/>
            <w:sz w:val="17"/>
            <w:szCs w:val="17"/>
            <w:rFonts w:ascii="Calibri" w:hAnsi="Calibri" w:eastAsia="Hiragino Sans GB"/>
          </w:rPr>
          <w:t>META</w:t>
        </w:r>
      </w:hyperlink>
      <w:r>
        <w:t xml:space="preserve"> · </w:t>
      </w:r>
      <w:hyperlink r:id="rId48">
        <w:r>
          <w:rPr>
            <w:color w:val="1D5FD1"/>
            <w:u w:val="single"/>
            <w:sz w:val="17"/>
            <w:szCs w:val="17"/>
            <w:rFonts w:ascii="Calibri" w:hAnsi="Calibri" w:eastAsia="Hiragino Sans GB"/>
          </w:rPr>
          <w:t>MSFT</w:t>
        </w:r>
      </w:hyperlink>
      <w:r>
        <w:t xml:space="preserve"> · </w:t>
      </w:r>
      <w:hyperlink r:id="rId49">
        <w:r>
          <w:rPr>
            <w:color w:val="1D5FD1"/>
            <w:u w:val="single"/>
            <w:sz w:val="17"/>
            <w:szCs w:val="17"/>
            <w:rFonts w:ascii="Calibri" w:hAnsi="Calibri" w:eastAsia="Hiragino Sans GB"/>
          </w:rPr>
          <w:t>NVDA</w:t>
        </w:r>
      </w:hyperlink>
      <w:r>
        <w:t xml:space="preserve"> · </w:t>
      </w:r>
      <w:hyperlink r:id="rId54">
        <w:r>
          <w:rPr>
            <w:color w:val="1D5FD1"/>
            <w:u w:val="single"/>
            <w:sz w:val="17"/>
            <w:szCs w:val="17"/>
            <w:rFonts w:ascii="Calibri" w:hAnsi="Calibri" w:eastAsia="Hiragino Sans GB"/>
          </w:rPr>
          <w:t>AMZN</w:t>
        </w:r>
      </w:hyperlink>
      <w:r>
        <w:t xml:space="preserve"> · </w:t>
      </w:r>
      <w:hyperlink r:id="rId55">
        <w:r>
          <w:rPr>
            <w:color w:val="1D5FD1"/>
            <w:u w:val="single"/>
            <w:sz w:val="17"/>
            <w:szCs w:val="17"/>
            <w:rFonts w:ascii="Calibri" w:hAnsi="Calibri" w:eastAsia="Hiragino Sans GB"/>
          </w:rPr>
          <w:t>GOOGL</w:t>
        </w:r>
      </w:hyperlink>
      <w:r>
        <w:t xml:space="preserve"> · </w:t>
      </w:r>
      <w:hyperlink r:id="rId50">
        <w:r>
          <w:rPr>
            <w:color w:val="1D5FD1"/>
            <w:u w:val="single"/>
            <w:sz w:val="17"/>
            <w:szCs w:val="17"/>
            <w:rFonts w:ascii="Calibri" w:hAnsi="Calibri" w:eastAsia="Hiragino Sans GB"/>
          </w:rPr>
          <w:t>TSM</w:t>
        </w:r>
      </w:hyperlink>
    </w:p>
    <w:p>
      <w:pPr>
        <w:keepNext/>
      </w:pPr>
      <w:r>
        <w:rPr>
          <w:rFonts w:ascii="Calibri" w:hAnsi="Calibri" w:eastAsia="Hiragino Sans GB"/>
          <w:b/>
          <w:color w:val="D85B16"/>
          <w:sz w:val="18"/>
        </w:rPr>
        <w:t xml:space="preserve">05  SPLIT  </w:t>
      </w:r>
      <w:r>
        <w:rPr>
          <w:rFonts w:ascii="Calibri" w:hAnsi="Calibri" w:eastAsia="Hiragino Sans GB"/>
          <w:b/>
          <w:color w:val="111111"/>
          <w:sz w:val="22"/>
        </w:rPr>
        <w:t>A 股硬科技与科创50的复苏需要订单、融资盘和指数结构共振 的本周证据更新</w:t>
      </w:r>
    </w:p>
    <w:p>
      <w:pPr>
        <w:keepLines w:val="0"/>
      </w:pPr>
      <w:r>
        <w:rPr>
          <w:rFonts w:ascii="Calibri" w:hAnsi="Calibri" w:eastAsia="Hiragino Sans GB"/>
          <w:b w:val="0"/>
          <w:color w:val="111111"/>
          <w:sz w:val="22"/>
        </w:rPr>
        <w:t>赛道：A股硬科技/科创50。候选观察标的：588000.SH, 688981.SH, 688256.SH, 688041.SH, 688008.SH, 688111.SH, 300308.SZ, 002916.SZ。当前共有 40 条证据、3 位分析师和 8 条风险信号指向该判断；主导链条为 AI 基础设施。该主题应作为可跟踪投资假设，而不是孤立结论。 本周新增 8 条主线事件，其中支持 5 条、风险 3 条；当前组合含义是 这是有投资含义但证据分歧很高的主线，更适合配对验证、分批试错和严格证伪。</w:t>
      </w:r>
    </w:p>
    <w:p>
      <w:pPr>
        <w:pStyle w:val="TableCitation"/>
      </w:pPr>
      <w:r>
        <w:t>关联标的：</w:t>
      </w:r>
      <w:hyperlink r:id="rId56">
        <w:r>
          <w:rPr>
            <w:color w:val="1D5FD1"/>
            <w:u w:val="single"/>
            <w:sz w:val="17"/>
            <w:szCs w:val="17"/>
            <w:rFonts w:ascii="Calibri" w:hAnsi="Calibri" w:eastAsia="Hiragino Sans GB"/>
          </w:rPr>
          <w:t>300308.SZ</w:t>
        </w:r>
      </w:hyperlink>
      <w:r>
        <w:t xml:space="preserve"> · </w:t>
      </w:r>
      <w:hyperlink r:id="rId57">
        <w:r>
          <w:rPr>
            <w:color w:val="1D5FD1"/>
            <w:u w:val="single"/>
            <w:sz w:val="17"/>
            <w:szCs w:val="17"/>
            <w:rFonts w:ascii="Calibri" w:hAnsi="Calibri" w:eastAsia="Hiragino Sans GB"/>
          </w:rPr>
          <w:t>688256.SH</w:t>
        </w:r>
      </w:hyperlink>
      <w:r>
        <w:t xml:space="preserve"> · </w:t>
      </w:r>
      <w:hyperlink r:id="rId43">
        <w:r>
          <w:rPr>
            <w:color w:val="1D5FD1"/>
            <w:u w:val="single"/>
            <w:sz w:val="17"/>
            <w:szCs w:val="17"/>
            <w:rFonts w:ascii="Calibri" w:hAnsi="Calibri" w:eastAsia="Hiragino Sans GB"/>
          </w:rPr>
          <w:t>688981.SH</w:t>
        </w:r>
      </w:hyperlink>
      <w:r>
        <w:t xml:space="preserve"> · </w:t>
      </w:r>
      <w:hyperlink r:id="rId58">
        <w:r>
          <w:rPr>
            <w:color w:val="1D5FD1"/>
            <w:u w:val="single"/>
            <w:sz w:val="17"/>
            <w:szCs w:val="17"/>
            <w:rFonts w:ascii="Calibri" w:hAnsi="Calibri" w:eastAsia="Hiragino Sans GB"/>
          </w:rPr>
          <w:t>0981.HK</w:t>
        </w:r>
      </w:hyperlink>
      <w:r>
        <w:t xml:space="preserve"> · </w:t>
      </w:r>
      <w:hyperlink r:id="rId59">
        <w:r>
          <w:rPr>
            <w:color w:val="1D5FD1"/>
            <w:u w:val="single"/>
            <w:sz w:val="17"/>
            <w:szCs w:val="17"/>
            <w:rFonts w:ascii="Calibri" w:hAnsi="Calibri" w:eastAsia="Hiragino Sans GB"/>
          </w:rPr>
          <w:t>688041.SH</w:t>
        </w:r>
      </w:hyperlink>
      <w:r>
        <w:t xml:space="preserve"> · </w:t>
      </w:r>
      <w:hyperlink r:id="rId38">
        <w:r>
          <w:rPr>
            <w:color w:val="1D5FD1"/>
            <w:u w:val="single"/>
            <w:sz w:val="17"/>
            <w:szCs w:val="17"/>
            <w:rFonts w:ascii="Calibri" w:hAnsi="Calibri" w:eastAsia="Hiragino Sans GB"/>
          </w:rPr>
          <w:t>600900.SH</w:t>
        </w:r>
      </w:hyperlink>
    </w:p>
    <w:p>
      <w:pPr>
        <w:pStyle w:val="Heading1"/>
      </w:pPr>
      <w:r>
        <w:t>5. 赛道配置与下一催化</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600"/>
        <w:gridCol w:w="1250"/>
        <w:gridCol w:w="2300"/>
        <w:gridCol w:w="2550"/>
        <w:gridCol w:w="2660"/>
      </w:tblGrid>
      <w:tr>
        <w:trPr>
          <w:cantSplit/>
          <w:tblHeader w:val="true"/>
        </w:trPr>
        <w:tc>
          <w:tcPr>
            <w:tcW w:type="dxa" w:w="6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RANK</w:t>
            </w:r>
          </w:p>
        </w:tc>
        <w:tc>
          <w:tcPr>
            <w:tcW w:type="dxa" w:w="12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STANCE</w:t>
            </w:r>
          </w:p>
        </w:tc>
        <w:tc>
          <w:tcPr>
            <w:tcW w:type="dxa" w:w="23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LANE</w:t>
            </w:r>
          </w:p>
        </w:tc>
        <w:tc>
          <w:tcPr>
            <w:tcW w:type="dxa" w:w="25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NEXT CATALYST</w:t>
            </w:r>
          </w:p>
        </w:tc>
        <w:tc>
          <w:tcPr>
            <w:tcW w:type="dxa" w:w="26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KEY EXPOSURES</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8864B"/>
                <w:sz w:val="15"/>
              </w:rPr>
              <w:t>OVERWEIGHT</w:t>
            </w:r>
          </w:p>
        </w:tc>
        <w:tc>
          <w:tcPr>
            <w:tcW w:type="dxa" w:w="2300"/>
            <w:tcMar>
              <w:top w:w="80" w:type="dxa"/>
              <w:bottom w:w="80" w:type="dxa"/>
              <w:start w:w="120" w:type="dxa"/>
              <w:end w:w="120" w:type="dxa"/>
            </w:tcMar>
          </w:tcPr>
          <w:p>
            <w:hyperlink r:id="rId60">
              <w:r>
                <w:rPr>
                  <w:color w:val="1D5FD1"/>
                  <w:u w:val="single"/>
                  <w:b/>
                  <w:sz w:val="16"/>
                  <w:szCs w:val="16"/>
                  <w:rFonts w:ascii="Calibri" w:hAnsi="Calibri" w:eastAsia="Hiragino Sans GB"/>
                </w:rPr>
                <w:t>AI 电力/电网设备</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并网排队和变压器交期是否继续拉长</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GEV · ETN · 002028.SZ · 600089.SH · 601179.SH · VST</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2</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61">
              <w:r>
                <w:rPr>
                  <w:color w:val="1D5FD1"/>
                  <w:u w:val="single"/>
                  <w:b/>
                  <w:sz w:val="16"/>
                  <w:szCs w:val="16"/>
                  <w:rFonts w:ascii="Calibri" w:hAnsi="Calibri" w:eastAsia="Hiragino Sans GB"/>
                </w:rPr>
                <w:t>A股半导体/两融负 Gamma</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588000.SH · 688256.SH · 688981.SH · 0981.HK · 688041.SH · 688008.SH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3</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2">
              <w:r>
                <w:rPr>
                  <w:color w:val="1D5FD1"/>
                  <w:u w:val="single"/>
                  <w:b/>
                  <w:sz w:val="16"/>
                  <w:szCs w:val="16"/>
                  <w:rFonts w:ascii="Calibri" w:hAnsi="Calibri" w:eastAsia="Hiragino Sans GB"/>
                </w:rPr>
                <w:t>先进封装/HBM4 闸门</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云厂商 capex 指引是否继续上修</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TSM · NVDA · MU · 000660.KS · ASML · 002916.SZ</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4</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63">
              <w:r>
                <w:rPr>
                  <w:color w:val="1D5FD1"/>
                  <w:u w:val="single"/>
                  <w:b/>
                  <w:sz w:val="16"/>
                  <w:szCs w:val="16"/>
                  <w:rFonts w:ascii="Calibri" w:hAnsi="Calibri" w:eastAsia="Hiragino Sans GB"/>
                </w:rPr>
                <w:t>A股风险偏好/两融</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588000.SH · 300620.SZ · 510300.SH · 688729.SH · 512100.SH · 301221.SZ</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5</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12">
              <w:r>
                <w:rPr>
                  <w:color w:val="1D5FD1"/>
                  <w:u w:val="single"/>
                  <w:b/>
                  <w:sz w:val="16"/>
                  <w:szCs w:val="16"/>
                  <w:rFonts w:ascii="Calibri" w:hAnsi="Calibri" w:eastAsia="Hiragino Sans GB"/>
                </w:rPr>
                <w:t>AI 算力半导体</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NVDA · TSM · META · AMD · AVGO · MU</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6</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4">
              <w:r>
                <w:rPr>
                  <w:color w:val="1D5FD1"/>
                  <w:u w:val="single"/>
                  <w:b/>
                  <w:sz w:val="16"/>
                  <w:szCs w:val="16"/>
                  <w:rFonts w:ascii="Calibri" w:hAnsi="Calibri" w:eastAsia="Hiragino Sans GB"/>
                </w:rPr>
                <w:t>油气/地缘通胀</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油价和金属缺口是否从成本冲击变成需求破坏</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0883.HK · SLB · OXY · CVX · XOM · COP</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7</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5">
              <w:r>
                <w:rPr>
                  <w:color w:val="1D5FD1"/>
                  <w:u w:val="single"/>
                  <w:b/>
                  <w:sz w:val="16"/>
                  <w:szCs w:val="16"/>
                  <w:rFonts w:ascii="Calibri" w:hAnsi="Calibri" w:eastAsia="Hiragino Sans GB"/>
                </w:rPr>
                <w:t>美债利率/美元再定价</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TLT · IEF · JPM · UUP · KRE · CME</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8</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16">
              <w:r>
                <w:rPr>
                  <w:color w:val="1D5FD1"/>
                  <w:u w:val="single"/>
                  <w:b/>
                  <w:sz w:val="16"/>
                  <w:szCs w:val="16"/>
                  <w:rFonts w:ascii="Calibri" w:hAnsi="Calibri" w:eastAsia="Hiragino Sans GB"/>
                </w:rPr>
                <w:t>A股硬科技/科创50</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300308.SZ · 688256.SH · 688981.SH · 688041.SH · 688008.SH · 588000.SH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9</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6">
              <w:r>
                <w:rPr>
                  <w:color w:val="1D5FD1"/>
                  <w:u w:val="single"/>
                  <w:b/>
                  <w:sz w:val="16"/>
                  <w:szCs w:val="16"/>
                  <w:rFonts w:ascii="Calibri" w:hAnsi="Calibri" w:eastAsia="Hiragino Sans GB"/>
                </w:rPr>
                <w:t>公用事业/电网信用</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并网排队和变压器交期是否继续拉长</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600900.SH · CEG · AEP · DUK · 600025.SH · 003816.SZ</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10</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7">
              <w:r>
                <w:rPr>
                  <w:color w:val="1D5FD1"/>
                  <w:u w:val="single"/>
                  <w:b/>
                  <w:sz w:val="16"/>
                  <w:szCs w:val="16"/>
                  <w:rFonts w:ascii="Calibri" w:hAnsi="Calibri" w:eastAsia="Hiragino Sans GB"/>
                </w:rPr>
                <w:t>日元套息/EM 科技流动性</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TSM · KWEB · FXY · CME · NVDA · 600900.SH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11</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68">
              <w:r>
                <w:rPr>
                  <w:color w:val="1D5FD1"/>
                  <w:u w:val="single"/>
                  <w:b/>
                  <w:sz w:val="16"/>
                  <w:szCs w:val="16"/>
                  <w:rFonts w:ascii="Calibri" w:hAnsi="Calibri" w:eastAsia="Hiragino Sans GB"/>
                </w:rPr>
                <w:t>家装/地产后周期</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价格弹性是否转化为利润率修复</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603833.SH · 002572.SZ · 002043.SZ · 603801.SH · 002790.SZ · 001322.SZ</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12</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69">
              <w:r>
                <w:rPr>
                  <w:color w:val="1D5FD1"/>
                  <w:u w:val="single"/>
                  <w:b/>
                  <w:sz w:val="16"/>
                  <w:szCs w:val="16"/>
                  <w:rFonts w:ascii="Calibri" w:hAnsi="Calibri" w:eastAsia="Hiragino Sans GB"/>
                </w:rPr>
                <w:t>AI 基建 TCO/能效筛选</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NVDA · TSM · VRT · AMD · META · MSFT</w:t>
            </w:r>
          </w:p>
        </w:tc>
      </w:tr>
    </w:tbl>
    <w:p>
      <w:pPr>
        <w:pStyle w:val="Heading1"/>
      </w:pPr>
      <w:r>
        <w:t>6. 关键分歧：保留正反两面</w:t>
      </w:r>
    </w:p>
    <w:p>
      <w:pPr>
        <w:pStyle w:val="Heading2"/>
      </w:pPr>
      <w:r>
        <w:t>01 · Mag7 在 AI 时代从平台垄断转向基础设施再分层</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2026-07-10｜超大规模厂商资本轮动：从消费内容到 AI 算力</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2026-07-18 AI 资本开支消化气穴仪表盘:公司与供应链披露</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下一周需要由价格、订单、交付、政策或盈利数据中的至少一项同向确认。</w:t>
            </w:r>
          </w:p>
        </w:tc>
      </w:tr>
    </w:tbl>
    <w:p>
      <w:pPr>
        <w:pStyle w:val="Heading2"/>
      </w:pPr>
      <w:r>
        <w:t>02 · A 股硬科技与科创50的复苏需要订单、融资盘和指数结构共振</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前序研究研究报告 — 2026-07-10</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算力“千元股集群”拥挤度压力测试报告</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下一周需要由价格、订单、交付、政策或盈利数据中的至少一项同向确认。</w:t>
            </w:r>
          </w:p>
        </w:tc>
      </w:tr>
    </w:tbl>
    <w:p>
      <w:pPr>
        <w:pStyle w:val="Heading2"/>
      </w:pPr>
      <w:r>
        <w:t>03 · DeepSeek 式低价模型正在重塑 AI 定价权与软件利润池</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硬件稀缺与 Token 通缩：AI 算力层级的“大分流”</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DeepSeek V4 极低成本对国内云价格战与 A 股软件板块利润率的影响</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下一周需要由价格、订单、交付、政策或盈利数据中的至少一项同向确认。</w:t>
            </w:r>
          </w:p>
        </w:tc>
      </w:tr>
    </w:tbl>
    <w:p>
      <w:pPr>
        <w:pStyle w:val="Heading1"/>
      </w:pPr>
      <w:r>
        <w:t>7. 下周验证清单</w:t>
      </w:r>
    </w:p>
    <w:p>
      <w:pPr>
        <w:pStyle w:val="Heading2"/>
      </w:pPr>
      <w:r>
        <w:t>01 · AI 电力/电网设备：并网排队和变压器交期是否继续拉长</w:t>
      </w:r>
    </w:p>
    <w:p>
      <w:pPr>
        <w:keepLines/>
      </w:pPr>
      <w:r>
        <w:rPr>
          <w:rFonts w:ascii="Calibri" w:hAnsi="Calibri" w:eastAsia="Hiragino Sans GB"/>
          <w:b w:val="0"/>
          <w:color w:val="5E6268"/>
          <w:sz w:val="22"/>
        </w:rPr>
        <w:t>该信号决定 OVERWEIGHT 配置能否从研究判断转化为可验证的组合结果。</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并网排队和变压器交期是否继续拉长</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在既定赛道上限内优先增加证据最强的核心标的。</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风险事件继续高于支持事件，且最新证据没有修复。</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降低相关暴露，回到观察状态，并重新比较替代赛道。</w:t>
            </w:r>
          </w:p>
        </w:tc>
      </w:tr>
    </w:tbl>
    <w:p>
      <w:pPr>
        <w:pStyle w:val="Heading2"/>
      </w:pPr>
      <w:r>
        <w:t>02 · A股半导体/两融负 Gamma：融资余额、ETF 申赎和北向资金是否同向</w:t>
      </w:r>
    </w:p>
    <w:p>
      <w:pPr>
        <w:keepLines/>
      </w:pPr>
      <w:r>
        <w:rPr>
          <w:rFonts w:ascii="Calibri" w:hAnsi="Calibri" w:eastAsia="Hiragino Sans GB"/>
          <w:b w:val="0"/>
          <w:color w:val="5E6268"/>
          <w:sz w:val="22"/>
        </w:rPr>
        <w:t>该信号决定 UNDERWEIGHT 配置能否从研究判断转化为可验证的组合结果。</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融资余额、ETF 申赎和北向资金是否同向</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维持低配并等待第二条确认。</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风险事件继续高于支持事件，且最新证据没有修复。</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降低相关暴露，回到观察状态，并重新比较替代赛道。</w:t>
            </w:r>
          </w:p>
        </w:tc>
      </w:tr>
    </w:tbl>
    <w:p>
      <w:pPr>
        <w:pStyle w:val="Heading2"/>
      </w:pPr>
      <w:r>
        <w:t>03 · 先进封装/HBM4 闸门：云厂商 capex 指引是否继续上修</w:t>
      </w:r>
    </w:p>
    <w:p>
      <w:pPr>
        <w:keepLines/>
      </w:pPr>
      <w:r>
        <w:rPr>
          <w:rFonts w:ascii="Calibri" w:hAnsi="Calibri" w:eastAsia="Hiragino Sans GB"/>
          <w:b w:val="0"/>
          <w:color w:val="5E6268"/>
          <w:sz w:val="22"/>
        </w:rPr>
        <w:t>该信号决定 NEUTRAL 配置能否从研究判断转化为可验证的组合结果。</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云厂商 capex 指引是否继续上修</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在既定赛道上限内优先增加证据最强的核心标的。</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风险事件继续高于支持事件，且最新证据没有修复。</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降低相关暴露，回到观察状态，并重新比较替代赛道。</w:t>
            </w:r>
          </w:p>
        </w:tc>
      </w:tr>
    </w:tbl>
    <w:p>
      <w:pPr>
        <w:pStyle w:val="Heading2"/>
      </w:pPr>
      <w:r>
        <w:t>04 · A股风险偏好/两融：融资余额、ETF 申赎和北向资金是否同向</w:t>
      </w:r>
    </w:p>
    <w:p>
      <w:pPr>
        <w:keepLines/>
      </w:pPr>
      <w:r>
        <w:rPr>
          <w:rFonts w:ascii="Calibri" w:hAnsi="Calibri" w:eastAsia="Hiragino Sans GB"/>
          <w:b w:val="0"/>
          <w:color w:val="5E6268"/>
          <w:sz w:val="22"/>
        </w:rPr>
        <w:t>该信号决定 UNDERWEIGHT 配置能否从研究判断转化为可验证的组合结果。</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融资余额、ETF 申赎和北向资金是否同向</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维持低配并等待第二条确认。</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风险事件继续高于支持事件，且最新证据没有修复。</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降低相关暴露，回到观察状态，并重新比较替代赛道。</w:t>
            </w:r>
          </w:p>
        </w:tc>
      </w:tr>
    </w:tbl>
    <w:p>
      <w:pPr>
        <w:pStyle w:val="Heading2"/>
      </w:pPr>
      <w:r>
        <w:t>05 · AI 算力半导体：CPI/PCE 与油价是否重新推高实际利率</w:t>
      </w:r>
    </w:p>
    <w:p>
      <w:pPr>
        <w:keepLines/>
      </w:pPr>
      <w:r>
        <w:rPr>
          <w:rFonts w:ascii="Calibri" w:hAnsi="Calibri" w:eastAsia="Hiragino Sans GB"/>
          <w:b w:val="0"/>
          <w:color w:val="5E6268"/>
          <w:sz w:val="22"/>
        </w:rPr>
        <w:t>该信号决定 NEUTRAL 配置能否从研究判断转化为可验证的组合结果。</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CPI/PCE 与油价是否重新推高实际利率</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在既定赛道上限内优先增加证据最强的核心标的。</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风险事件继续高于支持事件，且最新证据没有修复。</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降低相关暴露，回到观察状态，并重新比较替代赛道。</w:t>
            </w:r>
          </w:p>
        </w:tc>
      </w:tr>
    </w:tbl>
    <w:p>
      <w:pPr>
        <w:pStyle w:val="Heading1"/>
      </w:pPr>
      <w:r>
        <w:t>8. 发布质量与数据边界</w:t>
      </w:r>
    </w:p>
    <w:p>
      <w:pPr>
        <w:keepLines w:val="0"/>
      </w:pPr>
      <w:r>
        <w:rPr>
          <w:rFonts w:ascii="Calibri" w:hAnsi="Calibri" w:eastAsia="Hiragino Sans GB"/>
          <w:b/>
          <w:color w:val="111111"/>
          <w:sz w:val="22"/>
        </w:rPr>
        <w:t>本周结构化市场报价为空，因此不发布伪精确收益归因；正式命中率与 Brier 需要已结算 forecast 合约。</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2500"/>
        <w:gridCol w:w="1860"/>
        <w:gridCol w:w="5000"/>
      </w:tblGrid>
      <w:tr>
        <w:trPr>
          <w:cantSplit/>
          <w:tblHeader w:val="true"/>
        </w:trPr>
        <w:tc>
          <w:tcPr>
            <w:tcW w:type="dxa" w:w="2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CHECK</w:t>
            </w:r>
          </w:p>
        </w:tc>
        <w:tc>
          <w:tcPr>
            <w:tcW w:type="dxa" w:w="18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STATUS / VALUE</w:t>
            </w:r>
          </w:p>
        </w:tc>
        <w:tc>
          <w:tcPr>
            <w:tcW w:type="dxa" w:w="50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INTERPRETATION</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公开来源数</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80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公开来源覆盖</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操作结论证据覆盖</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7/7</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每条操作结论均有证据映射</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反向证据</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140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保留反向与挑战证据</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上周基线</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2026-W29</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是否具备可比较上周基线</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结构化市场报价</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D85B16"/>
                <w:sz w:val="16"/>
              </w:rPr>
              <w:t>warn · 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是否具备结构化市场报价</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人类友好综合</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D85B16"/>
                <w:sz w:val="16"/>
              </w:rPr>
              <w:t>warn · deterministic_grounded</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是否完成人类友好叙事综合</w:t>
            </w:r>
          </w:p>
        </w:tc>
      </w:tr>
    </w:tbl>
    <w:p>
      <w:pPr>
        <w:keepLines w:val="0"/>
      </w:pPr>
      <w:r>
        <w:rPr>
          <w:rFonts w:ascii="Calibri" w:hAnsi="Calibri" w:eastAsia="Hiragino Sans GB"/>
          <w:b/>
          <w:color w:val="C92A2A"/>
          <w:sz w:val="22"/>
        </w:rPr>
        <w:t>本版明确不发布：verified_market_performance · settled_forecast_hit_rate_and_brier</w:t>
      </w:r>
    </w:p>
    <w:p>
      <w:pPr>
        <w:keepLines w:val="0"/>
      </w:pPr>
      <w:r>
        <w:rPr>
          <w:rFonts w:ascii="Calibri" w:hAnsi="Calibri" w:eastAsia="Hiragino Sans GB"/>
          <w:b w:val="0"/>
          <w:color w:val="5E6268"/>
          <w:sz w:val="22"/>
        </w:rPr>
        <w:t>仅包含已发布研究合约、公开报告路径和可复查映射；不包含内部运行记录、鉴权或生产提示。</w:t>
      </w:r>
    </w:p>
    <w:p>
      <w:r>
        <w:br w:type="page"/>
      </w:r>
    </w:p>
    <w:p>
      <w:pPr>
        <w:pStyle w:val="SectionLabel"/>
      </w:pPr>
      <w:r>
        <w:rPr>
          <w:rFonts w:ascii="Calibri" w:hAnsi="Calibri" w:eastAsia="Hiragino Sans GB"/>
          <w:b/>
          <w:color w:val="1D5FD1"/>
          <w:sz w:val="17"/>
        </w:rPr>
        <w:t>PROVENANCE LEDGER</w:t>
      </w:r>
    </w:p>
    <w:p>
      <w:pPr>
        <w:pStyle w:val="Heading1"/>
      </w:pPr>
      <w:r>
        <w:t>9. 完整来源账本</w:t>
      </w:r>
    </w:p>
    <w:p>
      <w:pPr>
        <w:keepLines w:val="0"/>
      </w:pPr>
      <w:r>
        <w:rPr>
          <w:rFonts w:ascii="Calibri" w:hAnsi="Calibri" w:eastAsia="Hiragino Sans GB"/>
          <w:b w:val="0"/>
          <w:color w:val="111111"/>
          <w:sz w:val="22"/>
        </w:rPr>
        <w:t>共 80 条公开来源。标题可点击进入对应研究详情；本表保留日期、类别和主要证据角色。</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520"/>
        <w:gridCol w:w="1240"/>
        <w:gridCol w:w="5940"/>
        <w:gridCol w:w="1660"/>
      </w:tblGrid>
      <w:tr>
        <w:trPr>
          <w:cantSplit/>
          <w:tblHeader w:val="true"/>
        </w:trPr>
        <w:tc>
          <w:tcPr>
            <w:tcW w:type="dxa" w:w="52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NO.</w:t>
            </w:r>
          </w:p>
        </w:tc>
        <w:tc>
          <w:tcPr>
            <w:tcW w:type="dxa" w:w="124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DATE</w:t>
            </w:r>
          </w:p>
        </w:tc>
        <w:tc>
          <w:tcPr>
            <w:tcW w:type="dxa" w:w="594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REPORT</w:t>
            </w:r>
          </w:p>
        </w:tc>
        <w:tc>
          <w:tcPr>
            <w:tcW w:type="dxa" w:w="16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ROLE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70">
              <w:r>
                <w:rPr>
                  <w:color w:val="1D5FD1"/>
                  <w:u w:val="single"/>
                  <w:b/>
                  <w:sz w:val="16"/>
                  <w:szCs w:val="16"/>
                  <w:rFonts w:ascii="Calibri" w:hAnsi="Calibri" w:eastAsia="Hiragino Sans GB"/>
                </w:rPr>
                <w:t>Hyperscaler Behind-the-Meter (BTM) 核电与天然气自备电站替代方案对电网排队瓶颈的破解与 Capex...</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33">
              <w:r>
                <w:rPr>
                  <w:color w:val="1D5FD1"/>
                  <w:u w:val="single"/>
                  <w:b/>
                  <w:sz w:val="16"/>
                  <w:szCs w:val="16"/>
                  <w:rFonts w:ascii="Calibri" w:hAnsi="Calibri" w:eastAsia="Hiragino Sans GB"/>
                </w:rPr>
                <w:t>2026-07-22 A股策略卡：光通信相对GPU链的定价与拥挤度</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71">
              <w:r>
                <w:rPr>
                  <w:color w:val="1D5FD1"/>
                  <w:u w:val="single"/>
                  <w:b/>
                  <w:sz w:val="16"/>
                  <w:szCs w:val="16"/>
                  <w:rFonts w:ascii="Calibri" w:hAnsi="Calibri" w:eastAsia="Hiragino Sans GB"/>
                </w:rPr>
                <w:t>2026-07-22 A股先进封装与半导体设备龙头估值溢价与资金配置接续策略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19">
              <w:r>
                <w:rPr>
                  <w:color w:val="1D5FD1"/>
                  <w:u w:val="single"/>
                  <w:b/>
                  <w:sz w:val="16"/>
                  <w:szCs w:val="16"/>
                  <w:rFonts w:ascii="Calibri" w:hAnsi="Calibri" w:eastAsia="Hiragino Sans GB"/>
                </w:rPr>
                <w:t>2026-07-22 云巨头AI Capex分化与电力瓶颈对半导体算力链订单兑现的传导验证报告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29">
              <w:r>
                <w:rPr>
                  <w:color w:val="1D5FD1"/>
                  <w:u w:val="single"/>
                  <w:b/>
                  <w:sz w:val="16"/>
                  <w:szCs w:val="16"/>
                  <w:rFonts w:ascii="Calibri" w:hAnsi="Calibri" w:eastAsia="Hiragino Sans GB"/>
                </w:rPr>
                <w:t>2026-07-22 Bitcoin/IBIT与AI硬件风险预算规则</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72">
              <w:r>
                <w:rPr>
                  <w:color w:val="1D5FD1"/>
                  <w:u w:val="single"/>
                  <w:b/>
                  <w:sz w:val="16"/>
                  <w:szCs w:val="16"/>
                  <w:rFonts w:ascii="Calibri" w:hAnsi="Calibri" w:eastAsia="Hiragino Sans GB"/>
                </w:rPr>
                <w:t>美联储降息预期、日元套利解包与全球跨资产流动性再平衡</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35">
              <w:r>
                <w:rPr>
                  <w:color w:val="1D5FD1"/>
                  <w:u w:val="single"/>
                  <w:b/>
                  <w:sz w:val="16"/>
                  <w:szCs w:val="16"/>
                  <w:rFonts w:ascii="Calibri" w:hAnsi="Calibri" w:eastAsia="Hiragino Sans GB"/>
                </w:rPr>
                <w:t>A+H 晨会简报（2026-07-22 盘前）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34">
              <w:r>
                <w:rPr>
                  <w:color w:val="1D5FD1"/>
                  <w:u w:val="single"/>
                  <w:b/>
                  <w:sz w:val="16"/>
                  <w:szCs w:val="16"/>
                  <w:rFonts w:ascii="Calibri" w:hAnsi="Calibri" w:eastAsia="Hiragino Sans GB"/>
                </w:rPr>
                <w:t>A股策略晨会交易计划</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21">
              <w:r>
                <w:rPr>
                  <w:color w:val="1D5FD1"/>
                  <w:u w:val="single"/>
                  <w:b/>
                  <w:sz w:val="16"/>
                  <w:szCs w:val="16"/>
                  <w:rFonts w:ascii="Calibri" w:hAnsi="Calibri" w:eastAsia="Hiragino Sans GB"/>
                </w:rPr>
                <w:t>2026-07-22 AI算力需求扩张对半导体先进封装与设备环节的订单驱动效应分析</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27">
              <w:r>
                <w:rPr>
                  <w:color w:val="1D5FD1"/>
                  <w:u w:val="single"/>
                  <w:b/>
                  <w:sz w:val="16"/>
                  <w:szCs w:val="16"/>
                  <w:rFonts w:ascii="Calibri" w:hAnsi="Calibri" w:eastAsia="Hiragino Sans GB"/>
                </w:rPr>
                <w:t>2026-07-22 利率阈值压力测试：通胀预期、中美利差与组合久期风险</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31">
              <w:r>
                <w:rPr>
                  <w:color w:val="1D5FD1"/>
                  <w:u w:val="single"/>
                  <w:b/>
                  <w:sz w:val="16"/>
                  <w:szCs w:val="16"/>
                  <w:rFonts w:ascii="Calibri" w:hAnsi="Calibri" w:eastAsia="Hiragino Sans GB"/>
                </w:rPr>
                <w:t>AI算力基础设施的电网并网瓶颈、数据中心Capex与半导体能效匹配度评估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73">
              <w:r>
                <w:rPr>
                  <w:color w:val="1D5FD1"/>
                  <w:u w:val="single"/>
                  <w:b/>
                  <w:sz w:val="16"/>
                  <w:szCs w:val="16"/>
                  <w:rFonts w:ascii="Calibri" w:hAnsi="Calibri" w:eastAsia="Hiragino Sans GB"/>
                </w:rPr>
                <w:t>全球电网设备产能扩张瓶颈、取向硅钢(GOES)供给约束与Hyperscaler跨国Capex的宏观传导 — 2026-07-...</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74">
              <w:r>
                <w:rPr>
                  <w:color w:val="1D5FD1"/>
                  <w:u w:val="single"/>
                  <w:b/>
                  <w:sz w:val="16"/>
                  <w:szCs w:val="16"/>
                  <w:rFonts w:ascii="Calibri" w:hAnsi="Calibri" w:eastAsia="Hiragino Sans GB"/>
                </w:rPr>
                <w:t>铜负值TC/RC与电气设备瓶颈对AI数据中心Capex传导的压力测试 — 2026-07-22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75">
              <w:r>
                <w:rPr>
                  <w:color w:val="1D5FD1"/>
                  <w:u w:val="single"/>
                  <w:b/>
                  <w:sz w:val="16"/>
                  <w:szCs w:val="16"/>
                  <w:rFonts w:ascii="Calibri" w:hAnsi="Calibri" w:eastAsia="Hiragino Sans GB"/>
                </w:rPr>
                <w:t>2026-07-22 策略卡：A股半导体ETF、两融与成分股宽度验证</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20">
              <w:r>
                <w:rPr>
                  <w:color w:val="1D5FD1"/>
                  <w:u w:val="single"/>
                  <w:b/>
                  <w:sz w:val="16"/>
                  <w:szCs w:val="16"/>
                  <w:rFonts w:ascii="Calibri" w:hAnsi="Calibri" w:eastAsia="Hiragino Sans GB"/>
                </w:rPr>
                <w:t>半导体设备与先进封装：业绩兑现度与筹码出清验证</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76">
              <w:r>
                <w:rPr>
                  <w:color w:val="1D5FD1"/>
                  <w:u w:val="single"/>
                  <w:b/>
                  <w:sz w:val="16"/>
                  <w:szCs w:val="16"/>
                  <w:rFonts w:ascii="Calibri" w:hAnsi="Calibri" w:eastAsia="Hiragino Sans GB"/>
                </w:rPr>
                <w:t>AI电力与电网瓶颈的可量化交付与板块基本面验证</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77">
              <w:r>
                <w:rPr>
                  <w:color w:val="1D5FD1"/>
                  <w:u w:val="single"/>
                  <w:b/>
                  <w:sz w:val="16"/>
                  <w:szCs w:val="16"/>
                  <w:rFonts w:ascii="Calibri" w:hAnsi="Calibri" w:eastAsia="Hiragino Sans GB"/>
                </w:rPr>
                <w:t>AI 数据中心 Capex 通胀与上游金属约束 - 2026-07-22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78">
              <w:r>
                <w:rPr>
                  <w:color w:val="1D5FD1"/>
                  <w:u w:val="single"/>
                  <w:b/>
                  <w:sz w:val="16"/>
                  <w:szCs w:val="16"/>
                  <w:rFonts w:ascii="Calibri" w:hAnsi="Calibri" w:eastAsia="Hiragino Sans GB"/>
                </w:rPr>
                <w:t>AI算力扩张背景下的电网容量与配电基础设施压力评估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79">
              <w:r>
                <w:rPr>
                  <w:color w:val="1D5FD1"/>
                  <w:u w:val="single"/>
                  <w:b/>
                  <w:sz w:val="16"/>
                  <w:szCs w:val="16"/>
                  <w:rFonts w:ascii="Calibri" w:hAnsi="Calibri" w:eastAsia="Hiragino Sans GB"/>
                </w:rPr>
                <w:t>AI芯片功率密度激增与电网侧变压器供应瓶颈的协同约束分析：国内先进封装产能利用率的倒灌传导与应...</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80">
              <w:r>
                <w:rPr>
                  <w:color w:val="1D5FD1"/>
                  <w:u w:val="single"/>
                  <w:b/>
                  <w:sz w:val="16"/>
                  <w:szCs w:val="16"/>
                  <w:rFonts w:ascii="Calibri" w:hAnsi="Calibri" w:eastAsia="Hiragino Sans GB"/>
                </w:rPr>
                <w:t>2026-07-22 AI基础设施算力电力增量与16.0%能源安全腿兼容性及电网压力压力测试报告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25">
              <w:r>
                <w:rPr>
                  <w:color w:val="1D5FD1"/>
                  <w:u w:val="single"/>
                  <w:b/>
                  <w:sz w:val="16"/>
                  <w:szCs w:val="16"/>
                  <w:rFonts w:ascii="Calibri" w:hAnsi="Calibri" w:eastAsia="Hiragino Sans GB"/>
                </w:rPr>
                <w:t>A股红利因子的行业与流动性再平衡执行方案</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81">
              <w:r>
                <w:rPr>
                  <w:color w:val="1D5FD1"/>
                  <w:u w:val="single"/>
                  <w:b/>
                  <w:sz w:val="16"/>
                  <w:szCs w:val="16"/>
                  <w:rFonts w:ascii="Calibri" w:hAnsi="Calibri" w:eastAsia="Hiragino Sans GB"/>
                </w:rPr>
                <w:t>黄红档外汇压力下银行NIM收缩与红利腿结构重组（银行与非银红利切分）（工作日：2026-07-22）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82">
              <w:r>
                <w:rPr>
                  <w:color w:val="1D5FD1"/>
                  <w:u w:val="single"/>
                  <w:b/>
                  <w:sz w:val="16"/>
                  <w:szCs w:val="16"/>
                  <w:rFonts w:ascii="Calibri" w:hAnsi="Calibri" w:eastAsia="Hiragino Sans GB"/>
                </w:rPr>
                <w:t>2026-07-22：哑铃双腿的因子拥挤度与解禁调整后流动性评分</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83">
              <w:r>
                <w:rPr>
                  <w:color w:val="1D5FD1"/>
                  <w:u w:val="single"/>
                  <w:b/>
                  <w:sz w:val="16"/>
                  <w:szCs w:val="16"/>
                  <w:rFonts w:ascii="Calibri" w:hAnsi="Calibri" w:eastAsia="Hiragino Sans GB"/>
                </w:rPr>
                <w:t>外汇黄红档下非银红利安全垫深度检验：水电、电网、运营商与煤炭压力测试（工作日：2026-07-22）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84">
              <w:r>
                <w:rPr>
                  <w:color w:val="1D5FD1"/>
                  <w:u w:val="single"/>
                  <w:b/>
                  <w:sz w:val="16"/>
                  <w:szCs w:val="16"/>
                  <w:rFonts w:ascii="Calibri" w:hAnsi="Calibri" w:eastAsia="Hiragino Sans GB"/>
                </w:rPr>
                <w:t>2026-07-22 AI基础设施Capex研究记录：从加速器走向光互联、交换、电力与物理容量</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85">
              <w:r>
                <w:rPr>
                  <w:color w:val="1D5FD1"/>
                  <w:u w:val="single"/>
                  <w:b/>
                  <w:sz w:val="16"/>
                  <w:szCs w:val="16"/>
                  <w:rFonts w:ascii="Calibri" w:hAnsi="Calibri" w:eastAsia="Hiragino Sans GB"/>
                </w:rPr>
                <w:t>2026-07-22 Bitcoin/IBIT与AI硬件风险预算规则的A股落地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86">
              <w:r>
                <w:rPr>
                  <w:color w:val="1D5FD1"/>
                  <w:u w:val="single"/>
                  <w:b/>
                  <w:sz w:val="16"/>
                  <w:szCs w:val="16"/>
                  <w:rFonts w:ascii="Calibri" w:hAnsi="Calibri" w:eastAsia="Hiragino Sans GB"/>
                </w:rPr>
                <w:t>2026年三四季度“十五五”智算中心与电力/电网物理交付（Time-to-Power）瓶颈对AI硬件订单履约与Ca...</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87">
              <w:r>
                <w:rPr>
                  <w:color w:val="1D5FD1"/>
                  <w:u w:val="single"/>
                  <w:b/>
                  <w:sz w:val="16"/>
                  <w:szCs w:val="16"/>
                  <w:rFonts w:ascii="Calibri" w:hAnsi="Calibri" w:eastAsia="Hiragino Sans GB"/>
                </w:rPr>
                <w:t>外汇红黄阈值下的A股两融、ETF融资与行业拥挤度降仓规则（工作日：2026-07-22）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88">
              <w:r>
                <w:rPr>
                  <w:color w:val="1D5FD1"/>
                  <w:u w:val="single"/>
                  <w:b/>
                  <w:sz w:val="16"/>
                  <w:szCs w:val="16"/>
                  <w:rFonts w:ascii="Calibri" w:hAnsi="Calibri" w:eastAsia="Hiragino Sans GB"/>
                </w:rPr>
                <w:t>2026-07-22 | 7月22日：AI电力约束从“计量框架”进入替代供电与下游库存压力测试</w:t>
              </w:r>
            </w:hyperlink>
            <w:r>
              <w:rPr>
                <w:rFonts w:ascii="Calibri" w:hAnsi="Calibri" w:eastAsia="Hiragino Sans GB"/>
                <w:color w:val="5E6268"/>
                <w:sz w:val="14"/>
              </w:rPr>
              <w:br/>
              <w:t>AI Institute 综合编辑 · Reader report</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daily_synthesis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89">
              <w:r>
                <w:rPr>
                  <w:color w:val="1D5FD1"/>
                  <w:u w:val="single"/>
                  <w:b/>
                  <w:sz w:val="16"/>
                  <w:szCs w:val="16"/>
                  <w:rFonts w:ascii="Calibri" w:hAnsi="Calibri" w:eastAsia="Hiragino Sans GB"/>
                </w:rPr>
                <w:t>AI基础设施电力瓶颈与中游封装倒灌约束下的 A/H/美股大类资产配置、风格轮动与估值重估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90">
              <w:r>
                <w:rPr>
                  <w:color w:val="1D5FD1"/>
                  <w:u w:val="single"/>
                  <w:b/>
                  <w:sz w:val="16"/>
                  <w:szCs w:val="16"/>
                  <w:rFonts w:ascii="Calibri" w:hAnsi="Calibri" w:eastAsia="Hiragino Sans GB"/>
                </w:rPr>
                <w:t>半导体与AI硬件在红利再平衡方案中的配置价值与组合波动率评估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91">
              <w:r>
                <w:rPr>
                  <w:color w:val="1D5FD1"/>
                  <w:u w:val="single"/>
                  <w:b/>
                  <w:sz w:val="16"/>
                  <w:szCs w:val="16"/>
                  <w:rFonts w:ascii="Calibri" w:hAnsi="Calibri" w:eastAsia="Hiragino Sans GB"/>
                </w:rPr>
                <w:t>策略研究报告：两融去杠杆底部的微观资金结构与ETF资金持续性</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92">
              <w:r>
                <w:rPr>
                  <w:color w:val="1D5FD1"/>
                  <w:u w:val="single"/>
                  <w:b/>
                  <w:sz w:val="16"/>
                  <w:szCs w:val="16"/>
                  <w:rFonts w:ascii="Calibri" w:hAnsi="Calibri" w:eastAsia="Hiragino Sans GB"/>
                </w:rPr>
                <w:t>策略研究报告：油价冲击下A股两融余额与微观流动性踩踏风险排查及风格切换演变</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93">
              <w:r>
                <w:rPr>
                  <w:color w:val="1D5FD1"/>
                  <w:u w:val="single"/>
                  <w:b/>
                  <w:sz w:val="16"/>
                  <w:szCs w:val="16"/>
                  <w:rFonts w:ascii="Calibri" w:hAnsi="Calibri" w:eastAsia="Hiragino Sans GB"/>
                </w:rPr>
                <w:t>人民币走廊与日元动荡下的A股风格轮动：工作日 2026-07-22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94">
              <w:r>
                <w:rPr>
                  <w:color w:val="1D5FD1"/>
                  <w:u w:val="single"/>
                  <w:b/>
                  <w:sz w:val="16"/>
                  <w:szCs w:val="16"/>
                  <w:rFonts w:ascii="Calibri" w:hAnsi="Calibri" w:eastAsia="Hiragino Sans GB"/>
                </w:rPr>
                <w:t>2026-07-22：Brent $85-90 区间下能源股分红稳定性与现金流质量评估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95">
              <w:r>
                <w:rPr>
                  <w:color w:val="1D5FD1"/>
                  <w:u w:val="single"/>
                  <w:b/>
                  <w:sz w:val="16"/>
                  <w:szCs w:val="16"/>
                  <w:rFonts w:ascii="Calibri" w:hAnsi="Calibri" w:eastAsia="Hiragino Sans GB"/>
                </w:rPr>
                <w:t>油价持稳与央行结构性灌水下大类资产（股/债/商品）配置重构与杠铃策略落地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23">
              <w:r>
                <w:rPr>
                  <w:color w:val="1D5FD1"/>
                  <w:u w:val="single"/>
                  <w:b/>
                  <w:sz w:val="16"/>
                  <w:szCs w:val="16"/>
                  <w:rFonts w:ascii="Calibri" w:hAnsi="Calibri" w:eastAsia="Hiragino Sans GB"/>
                </w:rPr>
                <w:t>策略研究报告：低现金仓位遇上油价冲击——回撤买盘枯竭风险与杠铃对冲策略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24">
              <w:r>
                <w:rPr>
                  <w:color w:val="1D5FD1"/>
                  <w:u w:val="single"/>
                  <w:b/>
                  <w:sz w:val="16"/>
                  <w:szCs w:val="16"/>
                  <w:rFonts w:ascii="Calibri" w:hAnsi="Calibri" w:eastAsia="Hiragino Sans GB"/>
                </w:rPr>
                <w:t>2026-07-22 能源安全资产：利润弹性与16%组合落地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96">
              <w:r>
                <w:rPr>
                  <w:color w:val="1D5FD1"/>
                  <w:u w:val="single"/>
                  <w:b/>
                  <w:sz w:val="16"/>
                  <w:szCs w:val="16"/>
                  <w:rFonts w:ascii="Calibri" w:hAnsi="Calibri" w:eastAsia="Hiragino Sans GB"/>
                </w:rPr>
                <w:t>2026-07-22：Brent $85-90 下中国制造业利润再分配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28">
              <w:r>
                <w:rPr>
                  <w:color w:val="1D5FD1"/>
                  <w:u w:val="single"/>
                  <w:b/>
                  <w:sz w:val="16"/>
                  <w:szCs w:val="16"/>
                  <w:rFonts w:ascii="Calibri" w:hAnsi="Calibri" w:eastAsia="Hiragino Sans GB"/>
                </w:rPr>
                <w:t>首席风控官 (CRO) 盘前风险预警报告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97">
              <w:r>
                <w:rPr>
                  <w:color w:val="1D5FD1"/>
                  <w:u w:val="single"/>
                  <w:b/>
                  <w:sz w:val="16"/>
                  <w:szCs w:val="16"/>
                  <w:rFonts w:ascii="Calibri" w:hAnsi="Calibri" w:eastAsia="Hiragino Sans GB"/>
                </w:rPr>
                <w:t>2026-07-22：滞胀哑铃下A股两融、拥挤与解禁约束</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98">
              <w:r>
                <w:rPr>
                  <w:color w:val="1D5FD1"/>
                  <w:u w:val="single"/>
                  <w:b/>
                  <w:sz w:val="16"/>
                  <w:szCs w:val="16"/>
                  <w:rFonts w:ascii="Calibri" w:hAnsi="Calibri" w:eastAsia="Hiragino Sans GB"/>
                </w:rPr>
                <w:t>双重供给冲击：北美贸易摩擦与地缘油价震荡——从情绪催化走向中长期再通胀与估值重压</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99">
              <w:r>
                <w:rPr>
                  <w:color w:val="1D5FD1"/>
                  <w:u w:val="single"/>
                  <w:b/>
                  <w:sz w:val="16"/>
                  <w:szCs w:val="16"/>
                  <w:rFonts w:ascii="Calibri" w:hAnsi="Calibri" w:eastAsia="Hiragino Sans GB"/>
                </w:rPr>
                <w:t>2026年三季度国内宏观流动性、信贷脉冲与AI算力基础设施财政支持的传导</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100">
              <w:r>
                <w:rPr>
                  <w:color w:val="1D5FD1"/>
                  <w:u w:val="single"/>
                  <w:b/>
                  <w:sz w:val="16"/>
                  <w:szCs w:val="16"/>
                  <w:rFonts w:ascii="Calibri" w:hAnsi="Calibri" w:eastAsia="Hiragino Sans GB"/>
                </w:rPr>
                <w:t>油价持稳$90/桶高位对中国宏观剪刀差与央行货币政策对冲空间的传导机制</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2026-07-22</w:t>
            </w:r>
          </w:p>
        </w:tc>
        <w:tc>
          <w:tcPr>
            <w:tcW w:type="dxa" w:w="5940"/>
            <w:tcMar>
              <w:top w:w="80" w:type="dxa"/>
              <w:bottom w:w="80" w:type="dxa"/>
              <w:start w:w="120" w:type="dxa"/>
              <w:end w:w="120" w:type="dxa"/>
            </w:tcMar>
          </w:tcPr>
          <w:p>
            <w:pPr>
              <w:spacing w:after="20"/>
            </w:pPr>
            <w:hyperlink r:id="rId101">
              <w:r>
                <w:rPr>
                  <w:color w:val="1D5FD1"/>
                  <w:u w:val="single"/>
                  <w:b/>
                  <w:sz w:val="16"/>
                  <w:szCs w:val="16"/>
                  <w:rFonts w:ascii="Calibri" w:hAnsi="Calibri" w:eastAsia="Hiragino Sans GB"/>
                </w:rPr>
                <w:t>research thread Brief</w:t>
              </w:r>
            </w:hyperlink>
            <w:r>
              <w:rPr>
                <w:rFonts w:ascii="Calibri" w:hAnsi="Calibri" w:eastAsia="Hiragino Sans GB"/>
                <w:color w:val="5E6268"/>
                <w:sz w:val="14"/>
              </w:rPr>
              <w:br/>
              <w:t>未识别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support</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02">
              <w:r>
                <w:rPr>
                  <w:color w:val="1D5FD1"/>
                  <w:u w:val="single"/>
                  <w:b/>
                  <w:sz w:val="16"/>
                  <w:szCs w:val="16"/>
                  <w:rFonts w:ascii="Calibri" w:hAnsi="Calibri" w:eastAsia="Hiragino Sans GB"/>
                </w:rPr>
                <w:t>2026-07-21 全球与中国AI数据中心电力交付验证：从“纸面算力”到“电网接纳”的真假资产解构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03">
              <w:r>
                <w:rPr>
                  <w:color w:val="1D5FD1"/>
                  <w:u w:val="single"/>
                  <w:b/>
                  <w:sz w:val="16"/>
                  <w:szCs w:val="16"/>
                  <w:rFonts w:ascii="Calibri" w:hAnsi="Calibri" w:eastAsia="Hiragino Sans GB"/>
                </w:rPr>
                <w:t>A股资金结构再定价深度策略报告：地产消费拖累下的CSI 300权重重演、STAR 50弹性与红利/REITs收益...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04">
              <w:r>
                <w:rPr>
                  <w:color w:val="1D5FD1"/>
                  <w:u w:val="single"/>
                  <w:b/>
                  <w:sz w:val="16"/>
                  <w:szCs w:val="16"/>
                  <w:rFonts w:ascii="Calibri" w:hAnsi="Calibri" w:eastAsia="Hiragino Sans GB"/>
                </w:rPr>
                <w:t>2026-07-21 宏观流动性Regime检验：AI硬件 vs. Bitcoin风险偏好</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05">
              <w:r>
                <w:rPr>
                  <w:color w:val="1D5FD1"/>
                  <w:u w:val="single"/>
                  <w:b/>
                  <w:sz w:val="16"/>
                  <w:szCs w:val="16"/>
                  <w:rFonts w:ascii="Calibri" w:hAnsi="Calibri" w:eastAsia="Hiragino Sans GB"/>
                </w:rPr>
                <w:t>截至2026-07-21的房地产综合研判：地产企稳很窄，A股轮动仍是杠铃结构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06">
              <w:r>
                <w:rPr>
                  <w:color w:val="1D5FD1"/>
                  <w:u w:val="single"/>
                  <w:b/>
                  <w:sz w:val="16"/>
                  <w:szCs w:val="16"/>
                  <w:rFonts w:ascii="Calibri" w:hAnsi="Calibri" w:eastAsia="Hiragino Sans GB"/>
                </w:rPr>
                <w:t>房地产行业午间同步简报（2026-07-21）</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07">
              <w:r>
                <w:rPr>
                  <w:color w:val="1D5FD1"/>
                  <w:u w:val="single"/>
                  <w:b/>
                  <w:sz w:val="16"/>
                  <w:szCs w:val="16"/>
                  <w:rFonts w:ascii="Calibri" w:hAnsi="Calibri" w:eastAsia="Hiragino Sans GB"/>
                </w:rPr>
                <w:t>§1 THESIS</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08">
              <w:r>
                <w:rPr>
                  <w:color w:val="1D5FD1"/>
                  <w:u w:val="single"/>
                  <w:b/>
                  <w:sz w:val="16"/>
                  <w:szCs w:val="16"/>
                  <w:rFonts w:ascii="Calibri" w:hAnsi="Calibri" w:eastAsia="Hiragino Sans GB"/>
                </w:rPr>
                <w:t>中美国债收益率曲线日报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09">
              <w:r>
                <w:rPr>
                  <w:color w:val="1D5FD1"/>
                  <w:u w:val="single"/>
                  <w:b/>
                  <w:sz w:val="16"/>
                  <w:szCs w:val="16"/>
                  <w:rFonts w:ascii="Calibri" w:hAnsi="Calibri" w:eastAsia="Hiragino Sans GB"/>
                </w:rPr>
                <w:t>利率走廊、政策流动性与财政供给对A股哑铃型配置的宏观约束，2026-07-21</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10">
              <w:r>
                <w:rPr>
                  <w:color w:val="1D5FD1"/>
                  <w:u w:val="single"/>
                  <w:b/>
                  <w:sz w:val="16"/>
                  <w:szCs w:val="16"/>
                  <w:rFonts w:ascii="Calibri" w:hAnsi="Calibri" w:eastAsia="Hiragino Sans GB"/>
                </w:rPr>
                <w:t>拥挤交易预警：一致性持仓与回撤风险</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11">
              <w:r>
                <w:rPr>
                  <w:color w:val="1D5FD1"/>
                  <w:u w:val="single"/>
                  <w:b/>
                  <w:sz w:val="16"/>
                  <w:szCs w:val="16"/>
                  <w:rFonts w:ascii="Calibri" w:hAnsi="Calibri" w:eastAsia="Hiragino Sans GB"/>
                </w:rPr>
                <w:t>能源冲击与股市低隐波脱钩：偏度与VIX分化是否掩盖了系统性Gamma风险？</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12">
              <w:r>
                <w:rPr>
                  <w:color w:val="1D5FD1"/>
                  <w:u w:val="single"/>
                  <w:b/>
                  <w:sz w:val="16"/>
                  <w:szCs w:val="16"/>
                  <w:rFonts w:ascii="Calibri" w:hAnsi="Calibri" w:eastAsia="Hiragino Sans GB"/>
                </w:rPr>
                <w:t>2026-07-21 策略研究记录：A股内部市场结构确认：收盘宽度、期指基差、两融余额与ETF流入结构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13">
              <w:r>
                <w:rPr>
                  <w:color w:val="1D5FD1"/>
                  <w:u w:val="single"/>
                  <w:b/>
                  <w:sz w:val="16"/>
                  <w:szCs w:val="16"/>
                  <w:rFonts w:ascii="Calibri" w:hAnsi="Calibri" w:eastAsia="Hiragino Sans GB"/>
                </w:rPr>
                <w:t>2026-07-22 因子拥挤度压力检验：A股光通信相对GPU/PCB/先进封装</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14">
              <w:r>
                <w:rPr>
                  <w:color w:val="1D5FD1"/>
                  <w:u w:val="single"/>
                  <w:b/>
                  <w:sz w:val="16"/>
                  <w:szCs w:val="16"/>
                  <w:rFonts w:ascii="Calibri" w:hAnsi="Calibri" w:eastAsia="Hiragino Sans GB"/>
                </w:rPr>
                <w:t>大宗商品（铜/铝/锂/钢）价格走势及供需格局分析报告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15">
              <w:r>
                <w:rPr>
                  <w:color w:val="1D5FD1"/>
                  <w:u w:val="single"/>
                  <w:b/>
                  <w:sz w:val="16"/>
                  <w:szCs w:val="16"/>
                  <w:rFonts w:ascii="Calibri" w:hAnsi="Calibri" w:eastAsia="Hiragino Sans GB"/>
                </w:rPr>
                <w:t>2026-07-21 宏观策略研究记录：跨资产与外汇视角下的A股情绪底合成：日元 Carry Unwind 隐患、息差...</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16">
              <w:r>
                <w:rPr>
                  <w:color w:val="1D5FD1"/>
                  <w:u w:val="single"/>
                  <w:b/>
                  <w:sz w:val="16"/>
                  <w:szCs w:val="16"/>
                  <w:rFonts w:ascii="Calibri" w:hAnsi="Calibri" w:eastAsia="Hiragino Sans GB"/>
                </w:rPr>
                <w:t>散户舆情领先机构算力供应链：300620.SZ液冷CPO传闻是真实产业拐点还是流动性驱动陷阱？</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17">
              <w:r>
                <w:rPr>
                  <w:color w:val="1D5FD1"/>
                  <w:u w:val="single"/>
                  <w:b/>
                  <w:sz w:val="16"/>
                  <w:szCs w:val="16"/>
                  <w:rFonts w:ascii="Calibri" w:hAnsi="Calibri" w:eastAsia="Hiragino Sans GB"/>
                </w:rPr>
                <w:t>截至2026-07-21的智能家电以旧换新政策与A股风格轮动配置建议</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18">
              <w:r>
                <w:rPr>
                  <w:color w:val="1D5FD1"/>
                  <w:u w:val="single"/>
                  <w:b/>
                  <w:sz w:val="16"/>
                  <w:szCs w:val="16"/>
                  <w:rFonts w:ascii="Calibri" w:hAnsi="Calibri" w:eastAsia="Hiragino Sans GB"/>
                </w:rPr>
                <w:t>A股策略深度报告：科技筹码去杠杆的估值出清与红利避险交易向高低切换演进的拐点信号</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19">
              <w:r>
                <w:rPr>
                  <w:color w:val="1D5FD1"/>
                  <w:u w:val="single"/>
                  <w:b/>
                  <w:sz w:val="16"/>
                  <w:szCs w:val="16"/>
                  <w:rFonts w:ascii="Calibri" w:hAnsi="Calibri" w:eastAsia="Hiragino Sans GB"/>
                </w:rPr>
                <w:t>2026-07-21 策略研究记录：AI 算力基础设施、电力瓶颈与 2027 年芯片 Capex 兑现节奏</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20">
              <w:r>
                <w:rPr>
                  <w:color w:val="1D5FD1"/>
                  <w:u w:val="single"/>
                  <w:b/>
                  <w:sz w:val="16"/>
                  <w:szCs w:val="16"/>
                  <w:rFonts w:ascii="Calibri" w:hAnsi="Calibri" w:eastAsia="Hiragino Sans GB"/>
                </w:rPr>
                <w:t>农业行业午间同步简报（2026-07-21）</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21">
              <w:r>
                <w:rPr>
                  <w:color w:val="1D5FD1"/>
                  <w:u w:val="single"/>
                  <w:b/>
                  <w:sz w:val="16"/>
                  <w:szCs w:val="16"/>
                  <w:rFonts w:ascii="Calibri" w:hAnsi="Calibri" w:eastAsia="Hiragino Sans GB"/>
                </w:rPr>
                <w:t>去杠杆终点前的A股风格轮动与硬科技“收入锚”资产重定价路径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22">
              <w:r>
                <w:rPr>
                  <w:color w:val="1D5FD1"/>
                  <w:u w:val="single"/>
                  <w:b/>
                  <w:sz w:val="16"/>
                  <w:szCs w:val="16"/>
                  <w:rFonts w:ascii="Calibri" w:hAnsi="Calibri" w:eastAsia="Hiragino Sans GB"/>
                </w:rPr>
                <w:t>2026-07-21 压力测试：北美云厂商 CPO/NPO/LPO 部署节奏与 300620.SZ 组件收入可见度验证</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23">
              <w:r>
                <w:rPr>
                  <w:color w:val="1D5FD1"/>
                  <w:u w:val="single"/>
                  <w:b/>
                  <w:sz w:val="16"/>
                  <w:szCs w:val="16"/>
                  <w:rFonts w:ascii="Calibri" w:hAnsi="Calibri" w:eastAsia="Hiragino Sans GB"/>
                </w:rPr>
                <w:t>AI基础设施实物期权估值模型：电网接纳许可、低延迟硅光互连与A股行业配置</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24">
              <w:r>
                <w:rPr>
                  <w:color w:val="1D5FD1"/>
                  <w:u w:val="single"/>
                  <w:b/>
                  <w:sz w:val="16"/>
                  <w:szCs w:val="16"/>
                  <w:rFonts w:ascii="Calibri" w:hAnsi="Calibri" w:eastAsia="Hiragino Sans GB"/>
                </w:rPr>
                <w:t>跨资产风险平价评估：Bitcoin 能否替代 AI 硬件成为核心 Risk-On 载体？</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25">
              <w:r>
                <w:rPr>
                  <w:color w:val="1D5FD1"/>
                  <w:u w:val="single"/>
                  <w:b/>
                  <w:sz w:val="16"/>
                  <w:szCs w:val="16"/>
                  <w:rFonts w:ascii="Calibri" w:hAnsi="Calibri" w:eastAsia="Hiragino Sans GB"/>
                </w:rPr>
                <w:t>2026-07-21 压力测试：A股算力连接器与CPO概念股估值分化与两融杠杆退潮风险</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26">
              <w:r>
                <w:rPr>
                  <w:color w:val="1D5FD1"/>
                  <w:u w:val="single"/>
                  <w:b/>
                  <w:sz w:val="16"/>
                  <w:szCs w:val="16"/>
                  <w:rFonts w:ascii="Calibri" w:hAnsi="Calibri" w:eastAsia="Hiragino Sans GB"/>
                </w:rPr>
                <w:t>2026-07-21 运营方案与知识库落地：A股算力连接器与CPO估值分化、两融去杠杆及四张共享知识表维护</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27">
              <w:r>
                <w:rPr>
                  <w:color w:val="1D5FD1"/>
                  <w:u w:val="single"/>
                  <w:b/>
                  <w:sz w:val="16"/>
                  <w:szCs w:val="16"/>
                  <w:rFonts w:ascii="Calibri" w:hAnsi="Calibri" w:eastAsia="Hiragino Sans GB"/>
                </w:rPr>
                <w:t>A股电子与半导体板块融资杠杆出清点评估与长线资金接盘筹码结构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28">
              <w:r>
                <w:rPr>
                  <w:color w:val="1D5FD1"/>
                  <w:u w:val="single"/>
                  <w:b/>
                  <w:sz w:val="16"/>
                  <w:szCs w:val="16"/>
                  <w:rFonts w:ascii="Calibri" w:hAnsi="Calibri" w:eastAsia="Hiragino Sans GB"/>
                </w:rPr>
                <w:t>2026-07-21 中国AI电力的宏观体制定价：电网改革、现货电价、绿电直连与A股估值中枢</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29">
              <w:r>
                <w:rPr>
                  <w:color w:val="1D5FD1"/>
                  <w:u w:val="single"/>
                  <w:b/>
                  <w:sz w:val="16"/>
                  <w:szCs w:val="16"/>
                  <w:rFonts w:ascii="Calibri" w:hAnsi="Calibri" w:eastAsia="Hiragino Sans GB"/>
                </w:rPr>
                <w:t>2026-07-21 宏观策略研究记录：A股情绪底确立后的跨资产风险偏好传导与股债/大宗再平衡</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30">
              <w:r>
                <w:rPr>
                  <w:color w:val="1D5FD1"/>
                  <w:u w:val="single"/>
                  <w:b/>
                  <w:sz w:val="16"/>
                  <w:szCs w:val="16"/>
                  <w:rFonts w:ascii="Calibri" w:hAnsi="Calibri" w:eastAsia="Hiragino Sans GB"/>
                </w:rPr>
                <w:t>AI芯片去杠杆与Bitcoin风险预算转移：短期出清还是结构性轮动？</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31">
              <w:r>
                <w:rPr>
                  <w:color w:val="1D5FD1"/>
                  <w:u w:val="single"/>
                  <w:b/>
                  <w:sz w:val="16"/>
                  <w:szCs w:val="16"/>
                  <w:rFonts w:ascii="Calibri" w:hAnsi="Calibri" w:eastAsia="Hiragino Sans GB"/>
                </w:rPr>
                <w:t>2026-07-21：油价滞胀尾部下的跨资产组合权重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32">
              <w:r>
                <w:rPr>
                  <w:color w:val="1D5FD1"/>
                  <w:u w:val="single"/>
                  <w:b/>
                  <w:sz w:val="16"/>
                  <w:szCs w:val="16"/>
                  <w:rFonts w:ascii="Calibri" w:hAnsi="Calibri" w:eastAsia="Hiragino Sans GB"/>
                </w:rPr>
                <w:t>全球多等级信用利差全面监测与宏观传导报告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33">
              <w:r>
                <w:rPr>
                  <w:color w:val="1D5FD1"/>
                  <w:u w:val="single"/>
                  <w:b/>
                  <w:sz w:val="16"/>
                  <w:szCs w:val="16"/>
                  <w:rFonts w:ascii="Calibri" w:hAnsi="Calibri" w:eastAsia="Hiragino Sans GB"/>
                </w:rPr>
                <w:t>2026-07-21 高油波与陡峭 SKEW 下的多资产再平衡策略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34">
              <w:r>
                <w:rPr>
                  <w:color w:val="1D5FD1"/>
                  <w:u w:val="single"/>
                  <w:b/>
                  <w:sz w:val="16"/>
                  <w:szCs w:val="16"/>
                  <w:rFonts w:ascii="Calibri" w:hAnsi="Calibri" w:eastAsia="Hiragino Sans GB"/>
                </w:rPr>
                <w:t>隔夜市场情绪与资金流向扫描报告 (2026-07-21)</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35">
              <w:r>
                <w:rPr>
                  <w:color w:val="1D5FD1"/>
                  <w:u w:val="single"/>
                  <w:b/>
                  <w:sz w:val="16"/>
                  <w:szCs w:val="16"/>
                  <w:rFonts w:ascii="Calibri" w:hAnsi="Calibri" w:eastAsia="Hiragino Sans GB"/>
                </w:rPr>
                <w:t>2026-07-21 压力测试：以旧换新执行与家电提价能力能否消化铜铝压力？</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80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2026-07-21</w:t>
            </w:r>
          </w:p>
        </w:tc>
        <w:tc>
          <w:tcPr>
            <w:tcW w:type="dxa" w:w="5940"/>
            <w:tcMar>
              <w:top w:w="80" w:type="dxa"/>
              <w:bottom w:w="80" w:type="dxa"/>
              <w:start w:w="120" w:type="dxa"/>
              <w:end w:w="120" w:type="dxa"/>
            </w:tcMar>
          </w:tcPr>
          <w:p>
            <w:pPr>
              <w:spacing w:after="20"/>
            </w:pPr>
            <w:hyperlink r:id="rId136">
              <w:r>
                <w:rPr>
                  <w:color w:val="1D5FD1"/>
                  <w:u w:val="single"/>
                  <w:b/>
                  <w:sz w:val="16"/>
                  <w:szCs w:val="16"/>
                  <w:rFonts w:ascii="Calibri" w:hAnsi="Calibri" w:eastAsia="Hiragino Sans GB"/>
                </w:rPr>
                <w:t>2026-07-21 材料敏感性：会击穿家电电控链超配逻辑的铜铝价格区间</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bl>
    <w:p>
      <w:pPr>
        <w:pStyle w:val="TableCitation"/>
      </w:pPr>
      <w:r>
        <w:t>来源账本来自同一周度发布合约；未引入私有运行记录、密钥或内部提示。</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Hiragino Sans GB"/>
        <w:b/>
        <w:color w:val="5E6268"/>
        <w:sz w:val="17"/>
      </w:rPr>
      <w:t xml:space="preserve">ADMIN RESEARCH PUBLICATION  ·  </w:t>
    </w:r>
    <w:r>
      <w:rPr>
        <w:rFonts w:ascii="Calibri" w:hAnsi="Calibri" w:eastAsia="Hiragino Sans GB"/>
        <w:color w:val="5E6268"/>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Hiragino Sans GB"/>
        <w:b/>
        <w:color w:val="5E6268"/>
        <w:sz w:val="17"/>
      </w:rPr>
      <w:t>AI INSTITUTE  /  WEEKLY RESEARCH  /  2026-W30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20" w:line="264" w:lineRule="auto"/>
    </w:pPr>
    <w:rPr>
      <w:rFonts w:ascii="Calibri" w:hAnsi="Calibri" w:eastAsia="Hiragino Sans GB"/>
      <w:b w:val="0"/>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eastAsia="Hiragino Sans GB"/>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Hiragino Sans GB"/>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Hiragino Sans GB"/>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itation">
    <w:name w:val="Table Citation"/>
    <w:pPr>
      <w:keepNext w:val="0"/>
      <w:spacing w:before="80" w:after="80" w:line="240" w:lineRule="auto"/>
    </w:pPr>
    <w:rPr>
      <w:rFonts w:ascii="Calibri" w:hAnsi="Calibri" w:eastAsia="Hiragino Sans GB"/>
      <w:b w:val="0"/>
      <w:color w:val="5E6268"/>
      <w:sz w:val="17"/>
    </w:rPr>
  </w:style>
  <w:style w:type="paragraph" w:customStyle="1" w:styleId="SectionLabel">
    <w:name w:val="Section Label"/>
    <w:pPr>
      <w:keepNext/>
      <w:spacing w:before="0" w:after="80" w:line="240" w:lineRule="auto"/>
    </w:pPr>
    <w:rPr>
      <w:rFonts w:ascii="Calibri" w:hAnsi="Calibri" w:eastAsia="Hiragino Sans GB"/>
      <w:b/>
      <w:color w:val="1D5FD1"/>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vibe-alpha-three.vercel.app/investor/panorama/2026-W30/" TargetMode="External"/><Relationship Id="rId12" Type="http://schemas.openxmlformats.org/officeDocument/2006/relationships/hyperlink" Target="https://vibe-alpha-three.vercel.app/investor/lanes/ai-compute-semiconductors/" TargetMode="External"/><Relationship Id="rId13" Type="http://schemas.openxmlformats.org/officeDocument/2006/relationships/hyperlink" Target="https://vibe-alpha-three.vercel.app/investor/lanes/a-share-dividend-and-hard-tech-barbell/" TargetMode="External"/><Relationship Id="rId14" Type="http://schemas.openxmlformats.org/officeDocument/2006/relationships/hyperlink" Target="https://vibe-alpha-three.vercel.app/investor/lanes/ai-reflation-and-rate-sensitive-assets/" TargetMode="External"/><Relationship Id="rId15" Type="http://schemas.openxmlformats.org/officeDocument/2006/relationships/hyperlink" Target="https://vibe-alpha-three.vercel.app/investor/lanes/mag7-ai-platform-re-layering/" TargetMode="External"/><Relationship Id="rId16" Type="http://schemas.openxmlformats.org/officeDocument/2006/relationships/hyperlink" Target="https://vibe-alpha-three.vercel.app/investor/lanes/a-share-hard-tech-and-star50/" TargetMode="External"/><Relationship Id="rId17" Type="http://schemas.openxmlformats.org/officeDocument/2006/relationships/hyperlink" Target="https://vibe-alpha-three.vercel.app/investor/lanes/cpo-optical-modules-and-high-speed-interconnect/" TargetMode="External"/><Relationship Id="rId18" Type="http://schemas.openxmlformats.org/officeDocument/2006/relationships/hyperlink" Target="https://vibe-alpha-three.vercel.app/investor/lanes/china-equity-liquidity/" TargetMode="External"/><Relationship Id="rId19" Type="http://schemas.openxmlformats.org/officeDocument/2006/relationships/hyperlink" Target="https://vibe-alpha-three.vercel.app/investor/reports/archive-d42125384542/" TargetMode="External"/><Relationship Id="rId20" Type="http://schemas.openxmlformats.org/officeDocument/2006/relationships/hyperlink" Target="https://vibe-alpha-three.vercel.app/investor/reports/archive-5c67376acaa8/" TargetMode="External"/><Relationship Id="rId21" Type="http://schemas.openxmlformats.org/officeDocument/2006/relationships/hyperlink" Target="https://vibe-alpha-three.vercel.app/investor/reports/archive-57a46f4cf3f6/" TargetMode="External"/><Relationship Id="rId22" Type="http://schemas.openxmlformats.org/officeDocument/2006/relationships/hyperlink" Target="https://vibe-alpha-three.vercel.app/investor/theses/thesis-b976d8330e/" TargetMode="External"/><Relationship Id="rId23" Type="http://schemas.openxmlformats.org/officeDocument/2006/relationships/hyperlink" Target="https://vibe-alpha-three.vercel.app/investor/reports/archive-fae5ff4dbdb3/" TargetMode="External"/><Relationship Id="rId24" Type="http://schemas.openxmlformats.org/officeDocument/2006/relationships/hyperlink" Target="https://vibe-alpha-three.vercel.app/investor/reports/archive-7e2326199c38/" TargetMode="External"/><Relationship Id="rId25" Type="http://schemas.openxmlformats.org/officeDocument/2006/relationships/hyperlink" Target="https://vibe-alpha-three.vercel.app/investor/reports/archive-a45cbfb7984b/" TargetMode="External"/><Relationship Id="rId26" Type="http://schemas.openxmlformats.org/officeDocument/2006/relationships/hyperlink" Target="https://vibe-alpha-three.vercel.app/investor/theses/thesis-70daf87262/" TargetMode="External"/><Relationship Id="rId27" Type="http://schemas.openxmlformats.org/officeDocument/2006/relationships/hyperlink" Target="https://vibe-alpha-three.vercel.app/investor/reports/archive-4d7f7f8b245d/" TargetMode="External"/><Relationship Id="rId28" Type="http://schemas.openxmlformats.org/officeDocument/2006/relationships/hyperlink" Target="https://vibe-alpha-three.vercel.app/investor/reports/archive-92462a2dca1a/" TargetMode="External"/><Relationship Id="rId29" Type="http://schemas.openxmlformats.org/officeDocument/2006/relationships/hyperlink" Target="https://vibe-alpha-three.vercel.app/investor/reports/archive-161147bee476/" TargetMode="External"/><Relationship Id="rId30" Type="http://schemas.openxmlformats.org/officeDocument/2006/relationships/hyperlink" Target="https://vibe-alpha-three.vercel.app/investor/theses/thesis-075017003b/" TargetMode="External"/><Relationship Id="rId31" Type="http://schemas.openxmlformats.org/officeDocument/2006/relationships/hyperlink" Target="https://vibe-alpha-three.vercel.app/investor/reports/archive-0fc53b64a08c/" TargetMode="External"/><Relationship Id="rId32" Type="http://schemas.openxmlformats.org/officeDocument/2006/relationships/hyperlink" Target="https://vibe-alpha-three.vercel.app/investor/theses/thesis-8c5a9690a0/" TargetMode="External"/><Relationship Id="rId33" Type="http://schemas.openxmlformats.org/officeDocument/2006/relationships/hyperlink" Target="https://vibe-alpha-three.vercel.app/investor/reports/archive-337b02c278f6/" TargetMode="External"/><Relationship Id="rId34" Type="http://schemas.openxmlformats.org/officeDocument/2006/relationships/hyperlink" Target="https://vibe-alpha-three.vercel.app/investor/reports/archive-5c9487b240e4/" TargetMode="External"/><Relationship Id="rId35" Type="http://schemas.openxmlformats.org/officeDocument/2006/relationships/hyperlink" Target="https://vibe-alpha-three.vercel.app/investor/reports/archive-00f2b82a6025/" TargetMode="External"/><Relationship Id="rId36" Type="http://schemas.openxmlformats.org/officeDocument/2006/relationships/hyperlink" Target="https://vibe-alpha-three.vercel.app/investor/theses/thesis-603a5f7966/" TargetMode="External"/><Relationship Id="rId37" Type="http://schemas.openxmlformats.org/officeDocument/2006/relationships/hyperlink" Target="https://vibe-alpha-three.vercel.app/investor/theses/thesis-42faeae623/" TargetMode="External"/><Relationship Id="rId38" Type="http://schemas.openxmlformats.org/officeDocument/2006/relationships/hyperlink" Target="https://vibe-alpha-three.vercel.app/investor/stocks/600900.SH/" TargetMode="External"/><Relationship Id="rId39" Type="http://schemas.openxmlformats.org/officeDocument/2006/relationships/hyperlink" Target="https://vibe-alpha-three.vercel.app/investor/stocks/601398.SH/" TargetMode="External"/><Relationship Id="rId40" Type="http://schemas.openxmlformats.org/officeDocument/2006/relationships/hyperlink" Target="https://vibe-alpha-three.vercel.app/investor/stocks/601088.SH/" TargetMode="External"/><Relationship Id="rId41" Type="http://schemas.openxmlformats.org/officeDocument/2006/relationships/hyperlink" Target="https://vibe-alpha-three.vercel.app/investor/stocks/600941.SH/" TargetMode="External"/><Relationship Id="rId42" Type="http://schemas.openxmlformats.org/officeDocument/2006/relationships/hyperlink" Target="https://vibe-alpha-three.vercel.app/investor/stocks/588000.SH/" TargetMode="External"/><Relationship Id="rId43" Type="http://schemas.openxmlformats.org/officeDocument/2006/relationships/hyperlink" Target="https://vibe-alpha-three.vercel.app/investor/stocks/688981.SH/" TargetMode="External"/><Relationship Id="rId44" Type="http://schemas.openxmlformats.org/officeDocument/2006/relationships/hyperlink" Target="https://vibe-alpha-three.vercel.app/investor/stocks/XLU/" TargetMode="External"/><Relationship Id="rId45" Type="http://schemas.openxmlformats.org/officeDocument/2006/relationships/hyperlink" Target="https://vibe-alpha-three.vercel.app/investor/stocks/XLE/" TargetMode="External"/><Relationship Id="rId46" Type="http://schemas.openxmlformats.org/officeDocument/2006/relationships/hyperlink" Target="https://vibe-alpha-three.vercel.app/investor/stocks/META/" TargetMode="External"/><Relationship Id="rId47" Type="http://schemas.openxmlformats.org/officeDocument/2006/relationships/hyperlink" Target="https://vibe-alpha-three.vercel.app/investor/stocks/TLT/" TargetMode="External"/><Relationship Id="rId48" Type="http://schemas.openxmlformats.org/officeDocument/2006/relationships/hyperlink" Target="https://vibe-alpha-three.vercel.app/investor/stocks/MSFT/" TargetMode="External"/><Relationship Id="rId49" Type="http://schemas.openxmlformats.org/officeDocument/2006/relationships/hyperlink" Target="https://vibe-alpha-three.vercel.app/investor/stocks/NVDA/" TargetMode="External"/><Relationship Id="rId50" Type="http://schemas.openxmlformats.org/officeDocument/2006/relationships/hyperlink" Target="https://vibe-alpha-three.vercel.app/investor/stocks/TSM/" TargetMode="External"/><Relationship Id="rId51" Type="http://schemas.openxmlformats.org/officeDocument/2006/relationships/hyperlink" Target="https://vibe-alpha-three.vercel.app/investor/stocks/MU/" TargetMode="External"/><Relationship Id="rId52" Type="http://schemas.openxmlformats.org/officeDocument/2006/relationships/hyperlink" Target="https://vibe-alpha-three.vercel.app/investor/stocks/000660.KS/" TargetMode="External"/><Relationship Id="rId53" Type="http://schemas.openxmlformats.org/officeDocument/2006/relationships/hyperlink" Target="https://vibe-alpha-three.vercel.app/investor/stocks/AMD/" TargetMode="External"/><Relationship Id="rId54" Type="http://schemas.openxmlformats.org/officeDocument/2006/relationships/hyperlink" Target="https://vibe-alpha-three.vercel.app/investor/stocks/AMZN/" TargetMode="External"/><Relationship Id="rId55" Type="http://schemas.openxmlformats.org/officeDocument/2006/relationships/hyperlink" Target="https://vibe-alpha-three.vercel.app/investor/stocks/GOOGL/" TargetMode="External"/><Relationship Id="rId56" Type="http://schemas.openxmlformats.org/officeDocument/2006/relationships/hyperlink" Target="https://vibe-alpha-three.vercel.app/investor/stocks/300308.SZ/" TargetMode="External"/><Relationship Id="rId57" Type="http://schemas.openxmlformats.org/officeDocument/2006/relationships/hyperlink" Target="https://vibe-alpha-three.vercel.app/investor/stocks/688256.SH/" TargetMode="External"/><Relationship Id="rId58" Type="http://schemas.openxmlformats.org/officeDocument/2006/relationships/hyperlink" Target="https://vibe-alpha-three.vercel.app/investor/stocks/0981.HK/" TargetMode="External"/><Relationship Id="rId59" Type="http://schemas.openxmlformats.org/officeDocument/2006/relationships/hyperlink" Target="https://vibe-alpha-three.vercel.app/investor/stocks/688041.SH/" TargetMode="External"/><Relationship Id="rId60" Type="http://schemas.openxmlformats.org/officeDocument/2006/relationships/hyperlink" Target="https://vibe-alpha-three.vercel.app/investor/lanes/ai-power-and-grid-equipment/" TargetMode="External"/><Relationship Id="rId61" Type="http://schemas.openxmlformats.org/officeDocument/2006/relationships/hyperlink" Target="https://vibe-alpha-three.vercel.app/investor/lanes/a-share-semiconductor-margin-and-negative-gamma/" TargetMode="External"/><Relationship Id="rId62" Type="http://schemas.openxmlformats.org/officeDocument/2006/relationships/hyperlink" Target="https://vibe-alpha-three.vercel.app/investor/lanes/advanced-packaging-and-hbm4-gate/" TargetMode="External"/><Relationship Id="rId63" Type="http://schemas.openxmlformats.org/officeDocument/2006/relationships/hyperlink" Target="https://vibe-alpha-three.vercel.app/investor/lanes/a-share-risk-appetite-and-margin/" TargetMode="External"/><Relationship Id="rId64" Type="http://schemas.openxmlformats.org/officeDocument/2006/relationships/hyperlink" Target="https://vibe-alpha-three.vercel.app/investor/lanes/oil-gas-and-geopolitical-inflation/" TargetMode="External"/><Relationship Id="rId65" Type="http://schemas.openxmlformats.org/officeDocument/2006/relationships/hyperlink" Target="https://vibe-alpha-three.vercel.app/investor/lanes/us-rates-and-dollar-repricing/" TargetMode="External"/><Relationship Id="rId66" Type="http://schemas.openxmlformats.org/officeDocument/2006/relationships/hyperlink" Target="https://vibe-alpha-three.vercel.app/investor/lanes/utilities-grid-rate-base-and-credit/" TargetMode="External"/><Relationship Id="rId67" Type="http://schemas.openxmlformats.org/officeDocument/2006/relationships/hyperlink" Target="https://vibe-alpha-three.vercel.app/investor/lanes/yen-carry-and-em-tech-liquidity/" TargetMode="External"/><Relationship Id="rId68" Type="http://schemas.openxmlformats.org/officeDocument/2006/relationships/hyperlink" Target="https://vibe-alpha-three.vercel.app/investor/lanes/home-improvement-and-post-property-cycle/" TargetMode="External"/><Relationship Id="rId69" Type="http://schemas.openxmlformats.org/officeDocument/2006/relationships/hyperlink" Target="https://vibe-alpha-three.vercel.app/investor/lanes/ai-infrastructure-tco-and-efficiency-reset/" TargetMode="External"/><Relationship Id="rId70" Type="http://schemas.openxmlformats.org/officeDocument/2006/relationships/hyperlink" Target="https://vibe-alpha-three.vercel.app/investor/reports/archive-33a0cde8e4ca/" TargetMode="External"/><Relationship Id="rId71" Type="http://schemas.openxmlformats.org/officeDocument/2006/relationships/hyperlink" Target="https://vibe-alpha-three.vercel.app/investor/reports/archive-f87ab2690090/" TargetMode="External"/><Relationship Id="rId72" Type="http://schemas.openxmlformats.org/officeDocument/2006/relationships/hyperlink" Target="https://vibe-alpha-three.vercel.app/investor/reports/archive-7af960158312/" TargetMode="External"/><Relationship Id="rId73" Type="http://schemas.openxmlformats.org/officeDocument/2006/relationships/hyperlink" Target="https://vibe-alpha-three.vercel.app/investor/reports/archive-4bc16045e08a/" TargetMode="External"/><Relationship Id="rId74" Type="http://schemas.openxmlformats.org/officeDocument/2006/relationships/hyperlink" Target="https://vibe-alpha-three.vercel.app/investor/reports/archive-a8620577c58f/" TargetMode="External"/><Relationship Id="rId75" Type="http://schemas.openxmlformats.org/officeDocument/2006/relationships/hyperlink" Target="https://vibe-alpha-three.vercel.app/investor/reports/archive-bc3c4f3bca2e/" TargetMode="External"/><Relationship Id="rId76" Type="http://schemas.openxmlformats.org/officeDocument/2006/relationships/hyperlink" Target="https://vibe-alpha-three.vercel.app/investor/reports/archive-fd86112bb7fa/" TargetMode="External"/><Relationship Id="rId77" Type="http://schemas.openxmlformats.org/officeDocument/2006/relationships/hyperlink" Target="https://vibe-alpha-three.vercel.app/investor/reports/archive-446961739d76/" TargetMode="External"/><Relationship Id="rId78" Type="http://schemas.openxmlformats.org/officeDocument/2006/relationships/hyperlink" Target="https://vibe-alpha-three.vercel.app/investor/reports/archive-efd17f761ea5/" TargetMode="External"/><Relationship Id="rId79" Type="http://schemas.openxmlformats.org/officeDocument/2006/relationships/hyperlink" Target="https://vibe-alpha-three.vercel.app/investor/reports/archive-a8a03991da43/" TargetMode="External"/><Relationship Id="rId80" Type="http://schemas.openxmlformats.org/officeDocument/2006/relationships/hyperlink" Target="https://vibe-alpha-three.vercel.app/investor/reports/archive-691aa17f9f8d/" TargetMode="External"/><Relationship Id="rId81" Type="http://schemas.openxmlformats.org/officeDocument/2006/relationships/hyperlink" Target="https://vibe-alpha-three.vercel.app/investor/reports/archive-0aa31089ca81/" TargetMode="External"/><Relationship Id="rId82" Type="http://schemas.openxmlformats.org/officeDocument/2006/relationships/hyperlink" Target="https://vibe-alpha-three.vercel.app/investor/reports/archive-04e6c683faf8/" TargetMode="External"/><Relationship Id="rId83" Type="http://schemas.openxmlformats.org/officeDocument/2006/relationships/hyperlink" Target="https://vibe-alpha-three.vercel.app/investor/reports/archive-ea0684317191/" TargetMode="External"/><Relationship Id="rId84" Type="http://schemas.openxmlformats.org/officeDocument/2006/relationships/hyperlink" Target="https://vibe-alpha-three.vercel.app/investor/reports/archive-c1d585e6c80f/" TargetMode="External"/><Relationship Id="rId85" Type="http://schemas.openxmlformats.org/officeDocument/2006/relationships/hyperlink" Target="https://vibe-alpha-three.vercel.app/investor/reports/archive-51fd59619daf/" TargetMode="External"/><Relationship Id="rId86" Type="http://schemas.openxmlformats.org/officeDocument/2006/relationships/hyperlink" Target="https://vibe-alpha-three.vercel.app/investor/reports/archive-da945741abc5/" TargetMode="External"/><Relationship Id="rId87" Type="http://schemas.openxmlformats.org/officeDocument/2006/relationships/hyperlink" Target="https://vibe-alpha-three.vercel.app/investor/reports/archive-174716465175/" TargetMode="External"/><Relationship Id="rId88" Type="http://schemas.openxmlformats.org/officeDocument/2006/relationships/hyperlink" Target="https://vibe-alpha-three.vercel.app/investor/reports/reader-daily-reader-2026-07-22/" TargetMode="External"/><Relationship Id="rId89" Type="http://schemas.openxmlformats.org/officeDocument/2006/relationships/hyperlink" Target="https://vibe-alpha-three.vercel.app/investor/reports/archive-7208bbbe7b14/" TargetMode="External"/><Relationship Id="rId90" Type="http://schemas.openxmlformats.org/officeDocument/2006/relationships/hyperlink" Target="https://vibe-alpha-three.vercel.app/investor/reports/archive-290b9c302f9a/" TargetMode="External"/><Relationship Id="rId91" Type="http://schemas.openxmlformats.org/officeDocument/2006/relationships/hyperlink" Target="https://vibe-alpha-three.vercel.app/investor/reports/archive-5bb70eae97e1/" TargetMode="External"/><Relationship Id="rId92" Type="http://schemas.openxmlformats.org/officeDocument/2006/relationships/hyperlink" Target="https://vibe-alpha-three.vercel.app/investor/reports/archive-67d2385faa6f/" TargetMode="External"/><Relationship Id="rId93" Type="http://schemas.openxmlformats.org/officeDocument/2006/relationships/hyperlink" Target="https://vibe-alpha-three.vercel.app/investor/reports/archive-53666c1bcf5c/" TargetMode="External"/><Relationship Id="rId94" Type="http://schemas.openxmlformats.org/officeDocument/2006/relationships/hyperlink" Target="https://vibe-alpha-three.vercel.app/investor/reports/archive-4dbe05eb00a1/" TargetMode="External"/><Relationship Id="rId95" Type="http://schemas.openxmlformats.org/officeDocument/2006/relationships/hyperlink" Target="https://vibe-alpha-three.vercel.app/investor/reports/archive-e1ff38aa29d5/" TargetMode="External"/><Relationship Id="rId96" Type="http://schemas.openxmlformats.org/officeDocument/2006/relationships/hyperlink" Target="https://vibe-alpha-three.vercel.app/investor/reports/archive-d77cd74652cb/" TargetMode="External"/><Relationship Id="rId97" Type="http://schemas.openxmlformats.org/officeDocument/2006/relationships/hyperlink" Target="https://vibe-alpha-three.vercel.app/investor/reports/archive-ab258cbc10fe/" TargetMode="External"/><Relationship Id="rId98" Type="http://schemas.openxmlformats.org/officeDocument/2006/relationships/hyperlink" Target="https://vibe-alpha-three.vercel.app/investor/reports/archive-ba026364f639/" TargetMode="External"/><Relationship Id="rId99" Type="http://schemas.openxmlformats.org/officeDocument/2006/relationships/hyperlink" Target="https://vibe-alpha-three.vercel.app/investor/reports/archive-cf41645435b7/" TargetMode="External"/><Relationship Id="rId100" Type="http://schemas.openxmlformats.org/officeDocument/2006/relationships/hyperlink" Target="https://vibe-alpha-three.vercel.app/investor/reports/archive-173d3a2c242e/" TargetMode="External"/><Relationship Id="rId101" Type="http://schemas.openxmlformats.org/officeDocument/2006/relationships/hyperlink" Target="https://vibe-alpha-three.vercel.app/investor/reports/archive-cc571c19fa73/" TargetMode="External"/><Relationship Id="rId102" Type="http://schemas.openxmlformats.org/officeDocument/2006/relationships/hyperlink" Target="https://vibe-alpha-three.vercel.app/investor/reports/archive-1014be8f0104/" TargetMode="External"/><Relationship Id="rId103" Type="http://schemas.openxmlformats.org/officeDocument/2006/relationships/hyperlink" Target="https://vibe-alpha-three.vercel.app/investor/reports/archive-48d7c709befd/" TargetMode="External"/><Relationship Id="rId104" Type="http://schemas.openxmlformats.org/officeDocument/2006/relationships/hyperlink" Target="https://vibe-alpha-three.vercel.app/investor/reports/archive-3699a1f8380f/" TargetMode="External"/><Relationship Id="rId105" Type="http://schemas.openxmlformats.org/officeDocument/2006/relationships/hyperlink" Target="https://vibe-alpha-three.vercel.app/investor/reports/archive-44e332c786ce/" TargetMode="External"/><Relationship Id="rId106" Type="http://schemas.openxmlformats.org/officeDocument/2006/relationships/hyperlink" Target="https://vibe-alpha-three.vercel.app/investor/reports/archive-dbb96df42892/" TargetMode="External"/><Relationship Id="rId107" Type="http://schemas.openxmlformats.org/officeDocument/2006/relationships/hyperlink" Target="https://vibe-alpha-three.vercel.app/investor/reports/archive-0204ab4b18c8/" TargetMode="External"/><Relationship Id="rId108" Type="http://schemas.openxmlformats.org/officeDocument/2006/relationships/hyperlink" Target="https://vibe-alpha-three.vercel.app/investor/reports/archive-969ecbf97b62/" TargetMode="External"/><Relationship Id="rId109" Type="http://schemas.openxmlformats.org/officeDocument/2006/relationships/hyperlink" Target="https://vibe-alpha-three.vercel.app/investor/reports/archive-041a51c7998a/" TargetMode="External"/><Relationship Id="rId110" Type="http://schemas.openxmlformats.org/officeDocument/2006/relationships/hyperlink" Target="https://vibe-alpha-three.vercel.app/investor/reports/archive-8ef302a48029/" TargetMode="External"/><Relationship Id="rId111" Type="http://schemas.openxmlformats.org/officeDocument/2006/relationships/hyperlink" Target="https://vibe-alpha-three.vercel.app/investor/reports/archive-8037123746bd/" TargetMode="External"/><Relationship Id="rId112" Type="http://schemas.openxmlformats.org/officeDocument/2006/relationships/hyperlink" Target="https://vibe-alpha-three.vercel.app/investor/reports/archive-62c46b60a5dc/" TargetMode="External"/><Relationship Id="rId113" Type="http://schemas.openxmlformats.org/officeDocument/2006/relationships/hyperlink" Target="https://vibe-alpha-three.vercel.app/investor/reports/archive-cb9c3595b3e1/" TargetMode="External"/><Relationship Id="rId114" Type="http://schemas.openxmlformats.org/officeDocument/2006/relationships/hyperlink" Target="https://vibe-alpha-three.vercel.app/investor/reports/archive-aeb82d1d7046/" TargetMode="External"/><Relationship Id="rId115" Type="http://schemas.openxmlformats.org/officeDocument/2006/relationships/hyperlink" Target="https://vibe-alpha-three.vercel.app/investor/reports/archive-7673379c2fb8/" TargetMode="External"/><Relationship Id="rId116" Type="http://schemas.openxmlformats.org/officeDocument/2006/relationships/hyperlink" Target="https://vibe-alpha-three.vercel.app/investor/reports/archive-d50396331e35/" TargetMode="External"/><Relationship Id="rId117" Type="http://schemas.openxmlformats.org/officeDocument/2006/relationships/hyperlink" Target="https://vibe-alpha-three.vercel.app/investor/reports/archive-a586efd646ea/" TargetMode="External"/><Relationship Id="rId118" Type="http://schemas.openxmlformats.org/officeDocument/2006/relationships/hyperlink" Target="https://vibe-alpha-three.vercel.app/investor/reports/archive-8f142418fc29/" TargetMode="External"/><Relationship Id="rId119" Type="http://schemas.openxmlformats.org/officeDocument/2006/relationships/hyperlink" Target="https://vibe-alpha-three.vercel.app/investor/reports/archive-5f09634c6c10/" TargetMode="External"/><Relationship Id="rId120" Type="http://schemas.openxmlformats.org/officeDocument/2006/relationships/hyperlink" Target="https://vibe-alpha-three.vercel.app/investor/reports/archive-b6dc6b16d84c/" TargetMode="External"/><Relationship Id="rId121" Type="http://schemas.openxmlformats.org/officeDocument/2006/relationships/hyperlink" Target="https://vibe-alpha-three.vercel.app/investor/reports/archive-79f4e4351bb6/" TargetMode="External"/><Relationship Id="rId122" Type="http://schemas.openxmlformats.org/officeDocument/2006/relationships/hyperlink" Target="https://vibe-alpha-three.vercel.app/investor/reports/archive-83969a35db41/" TargetMode="External"/><Relationship Id="rId123" Type="http://schemas.openxmlformats.org/officeDocument/2006/relationships/hyperlink" Target="https://vibe-alpha-three.vercel.app/investor/reports/archive-23396cf00c90/" TargetMode="External"/><Relationship Id="rId124" Type="http://schemas.openxmlformats.org/officeDocument/2006/relationships/hyperlink" Target="https://vibe-alpha-three.vercel.app/investor/reports/archive-09337f7abb4f/" TargetMode="External"/><Relationship Id="rId125" Type="http://schemas.openxmlformats.org/officeDocument/2006/relationships/hyperlink" Target="https://vibe-alpha-three.vercel.app/investor/reports/archive-7b2d5283962d/" TargetMode="External"/><Relationship Id="rId126" Type="http://schemas.openxmlformats.org/officeDocument/2006/relationships/hyperlink" Target="https://vibe-alpha-three.vercel.app/investor/reports/archive-eb768d31d97b/" TargetMode="External"/><Relationship Id="rId127" Type="http://schemas.openxmlformats.org/officeDocument/2006/relationships/hyperlink" Target="https://vibe-alpha-three.vercel.app/investor/reports/archive-f8bd99812f2a/" TargetMode="External"/><Relationship Id="rId128" Type="http://schemas.openxmlformats.org/officeDocument/2006/relationships/hyperlink" Target="https://vibe-alpha-three.vercel.app/investor/reports/archive-6b909c44e3d3/" TargetMode="External"/><Relationship Id="rId129" Type="http://schemas.openxmlformats.org/officeDocument/2006/relationships/hyperlink" Target="https://vibe-alpha-three.vercel.app/investor/reports/archive-9dc93367a052/" TargetMode="External"/><Relationship Id="rId130" Type="http://schemas.openxmlformats.org/officeDocument/2006/relationships/hyperlink" Target="https://vibe-alpha-three.vercel.app/investor/reports/archive-132b487f818c/" TargetMode="External"/><Relationship Id="rId131" Type="http://schemas.openxmlformats.org/officeDocument/2006/relationships/hyperlink" Target="https://vibe-alpha-three.vercel.app/investor/reports/archive-1acc12998f43/" TargetMode="External"/><Relationship Id="rId132" Type="http://schemas.openxmlformats.org/officeDocument/2006/relationships/hyperlink" Target="https://vibe-alpha-three.vercel.app/investor/reports/archive-7de914363230/" TargetMode="External"/><Relationship Id="rId133" Type="http://schemas.openxmlformats.org/officeDocument/2006/relationships/hyperlink" Target="https://vibe-alpha-three.vercel.app/investor/reports/archive-2637f3139aad/" TargetMode="External"/><Relationship Id="rId134" Type="http://schemas.openxmlformats.org/officeDocument/2006/relationships/hyperlink" Target="https://vibe-alpha-three.vercel.app/investor/reports/archive-1ef51988468e/" TargetMode="External"/><Relationship Id="rId135" Type="http://schemas.openxmlformats.org/officeDocument/2006/relationships/hyperlink" Target="https://vibe-alpha-three.vercel.app/investor/reports/archive-464dfe8d76f4/" TargetMode="External"/><Relationship Id="rId136" Type="http://schemas.openxmlformats.org/officeDocument/2006/relationships/hyperlink" Target="https://vibe-alpha-three.vercel.app/investor/reports/archive-435ceac6fd7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2026-W30 AI Institute 周度投资研究全景</dc:title>
  <dc:subject>AI Institute weekly research report 2026-W30</dc:subject>
  <dc:creator>AI Institute</dc:creator>
  <cp:keywords>AI Institute, weekly research, investment research</cp:keywords>
  <dc:description>generated by python-docx</dc:description>
  <cp:lastModifiedBy/>
  <cp:revision>1</cp:revision>
  <dcterms:created xsi:type="dcterms:W3CDTF">2013-12-23T23:15:00Z</dcterms:created>
  <dcterms:modified xsi:type="dcterms:W3CDTF">2013-12-23T23:15:00Z</dcterms:modified>
  <cp:category/>
</cp:coreProperties>
</file>