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eiti TC"/>
          <w:b/>
          <w:i w:val="0"/>
          <w:color w:val="285B9D"/>
          <w:sz w:val="20"/>
        </w:rPr>
        <w:t>AI Institute</w:t>
      </w:r>
    </w:p>
    <w:p>
      <w:pPr>
        <w:pStyle w:val="Title"/>
        <w:spacing w:before="0" w:after="80" w:line="264" w:lineRule="auto"/>
      </w:pPr>
      <w:r>
        <w:rPr>
          <w:rFonts w:ascii="Calibri" w:hAnsi="Calibri" w:eastAsia="Heiti TC"/>
          <w:b w:val="0"/>
          <w:i w:val="0"/>
        </w:rPr>
        <w:t>每日投资研究简报</w:t>
      </w:r>
    </w:p>
    <w:p>
      <w:pPr>
        <w:pStyle w:val="Subtitle"/>
        <w:spacing w:before="0" w:after="240" w:line="264" w:lineRule="auto"/>
      </w:pPr>
      <w:r>
        <w:rPr>
          <w:rFonts w:ascii="Calibri" w:hAnsi="Calibri" w:eastAsia="Heiti TC"/>
          <w:b w:val="0"/>
          <w:i w:val="0"/>
        </w:rPr>
        <w:t>2026-06-25 · webpage screenshot DOCX edition</w:t>
      </w:r>
    </w:p>
    <w:p>
      <w:pPr>
        <w:spacing w:before="0" w:after="160" w:line="264" w:lineRule="auto"/>
      </w:pPr>
      <w:r>
        <w:rPr>
          <w:rFonts w:ascii="Calibri" w:hAnsi="Calibri" w:eastAsia="Heiti TC"/>
          <w:b/>
          <w:i w:val="0"/>
          <w:color w:val="0B2545"/>
          <w:sz w:val="34"/>
        </w:rPr>
        <w:t>宏观通胀传导仍是今日主线，AI 基础设施提供第二层验证。</w:t>
      </w:r>
    </w:p>
    <w:p>
      <w:pPr>
        <w:spacing w:before="0" w:after="240" w:line="264" w:lineRule="auto"/>
      </w:pPr>
      <w:r>
        <w:rPr>
          <w:rFonts w:ascii="Calibri" w:hAnsi="Calibri" w:eastAsia="Heiti TC"/>
          <w:b w:val="0"/>
          <w:i w:val="0"/>
          <w:color w:val="334155"/>
          <w:sz w:val="22"/>
        </w:rPr>
        <w:t>2026-06-25 共纳入 156 篇中文研究结果，覆盖 18 位活跃分析师和 6 条主要行业链，较 2026-06-24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eiti TC"/>
                <w:b/>
                <w:color w:val="667085"/>
                <w:sz w:val="17"/>
              </w:rPr>
              <w:t>今日报告</w:t>
              <w:br/>
            </w:r>
            <w:r>
              <w:rPr>
                <w:rFonts w:ascii="Calibri" w:hAnsi="Calibri" w:eastAsia="Heiti TC"/>
                <w:b/>
                <w:color w:val="285B9D"/>
                <w:sz w:val="36"/>
              </w:rPr>
              <w:t>156</w:t>
            </w:r>
          </w:p>
        </w:tc>
        <w:tc>
          <w:tcPr>
            <w:tcW w:type="dxa" w:w="2340"/>
            <w:vAlign w:val="center"/>
            <w:shd w:fill="F8FAFC"/>
          </w:tcPr>
          <w:p>
            <w:pPr>
              <w:spacing w:after="40"/>
            </w:pPr>
            <w:r>
              <w:rPr>
                <w:rFonts w:ascii="Calibri" w:hAnsi="Calibri" w:eastAsia="Heiti TC"/>
                <w:b/>
                <w:color w:val="667085"/>
                <w:sz w:val="17"/>
              </w:rPr>
              <w:t>活跃分析师</w:t>
              <w:br/>
            </w:r>
            <w:r>
              <w:rPr>
                <w:rFonts w:ascii="Calibri" w:hAnsi="Calibri" w:eastAsia="Heiti TC"/>
                <w:b/>
                <w:color w:val="237A5B"/>
                <w:sz w:val="36"/>
              </w:rPr>
              <w:t>18</w:t>
            </w:r>
          </w:p>
        </w:tc>
        <w:tc>
          <w:tcPr>
            <w:tcW w:type="dxa" w:w="2340"/>
            <w:vAlign w:val="center"/>
            <w:shd w:fill="F8FAFC"/>
          </w:tcPr>
          <w:p>
            <w:pPr>
              <w:spacing w:after="40"/>
            </w:pPr>
            <w:r>
              <w:rPr>
                <w:rFonts w:ascii="Calibri" w:hAnsi="Calibri" w:eastAsia="Heiti TC"/>
                <w:b/>
                <w:color w:val="667085"/>
                <w:sz w:val="17"/>
              </w:rPr>
              <w:t>活跃链条</w:t>
              <w:br/>
            </w:r>
            <w:r>
              <w:rPr>
                <w:rFonts w:ascii="Calibri" w:hAnsi="Calibri" w:eastAsia="Heiti TC"/>
                <w:b/>
                <w:color w:val="A8731B"/>
                <w:sz w:val="36"/>
              </w:rPr>
              <w:t>6</w:t>
            </w:r>
          </w:p>
        </w:tc>
        <w:tc>
          <w:tcPr>
            <w:tcW w:type="dxa" w:w="2340"/>
            <w:vAlign w:val="center"/>
            <w:shd w:fill="F8FAFC"/>
          </w:tcPr>
          <w:p>
            <w:pPr>
              <w:spacing w:after="40"/>
            </w:pPr>
            <w:r>
              <w:rPr>
                <w:rFonts w:ascii="Calibri" w:hAnsi="Calibri" w:eastAsia="Heiti TC"/>
                <w:b/>
                <w:color w:val="667085"/>
                <w:sz w:val="17"/>
              </w:rPr>
              <w:t>风险信号</w:t>
              <w:br/>
            </w:r>
            <w:r>
              <w:rPr>
                <w:rFonts w:ascii="Calibri" w:hAnsi="Calibri" w:eastAsia="Heiti T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25-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eiti TC"/>
          <w:b/>
          <w:color w:val="285B9D"/>
          <w:sz w:val="21"/>
        </w:rPr>
        <w:t xml:space="preserve">主线判断: </w:t>
      </w:r>
      <w:hyperlink r:id="rId12">
        <w:r>
          <w:rPr>
            <w:color w:val="285B9D"/>
            <w:u w:val="single"/>
            <w:rFonts w:eastAsia="Heiti TC" w:ascii="Calibri" w:hAnsi="Calibri"/>
          </w:rPr>
          <w:t>2026-06-25 - 电网硬件瓶颈与 AI 数据中心选址重排 是今日最高权重结论，核心证据来自 未识别，关联 电力与电网。</w:t>
        </w:r>
      </w:hyperlink>
    </w:p>
    <w:p>
      <w:pPr>
        <w:spacing w:after="140"/>
        <w:ind w:left="259" w:hanging="259"/>
      </w:pPr>
      <w:r>
        <w:rPr>
          <w:rFonts w:ascii="Calibri" w:hAnsi="Calibri" w:eastAsia="Heiti TC"/>
          <w:b/>
          <w:color w:val="285B9D"/>
          <w:sz w:val="21"/>
        </w:rPr>
        <w:t xml:space="preserve">变化信号: </w:t>
      </w:r>
      <w:r>
        <w:rPr>
          <w:rFonts w:ascii="Calibri" w:hAnsi="Calibri" w:eastAsia="Heiti TC"/>
          <w:color w:val="111827"/>
          <w:sz w:val="21"/>
        </w:rPr>
        <w:t>AI 今日 降温，当日计数 145，前一日计数 242。</w:t>
      </w:r>
    </w:p>
    <w:p>
      <w:pPr>
        <w:spacing w:after="140"/>
        <w:ind w:left="259" w:hanging="259"/>
      </w:pPr>
      <w:r>
        <w:rPr>
          <w:rFonts w:ascii="Calibri" w:hAnsi="Calibri" w:eastAsia="Heiti TC"/>
          <w:b/>
          <w:color w:val="285B9D"/>
          <w:sz w:val="21"/>
        </w:rPr>
        <w:t xml:space="preserve">风险焦点: </w:t>
      </w:r>
      <w:hyperlink r:id="rId12">
        <w:r>
          <w:rPr>
            <w:color w:val="285B9D"/>
            <w:u w:val="single"/>
            <w:rFonts w:eastAsia="Heiti TC" w:ascii="Calibri" w:hAnsi="Calibri"/>
          </w:rPr>
          <w:t>风险矩阵最需要跟踪的是 电力与电网：2026-06-25 - 电网硬件瓶颈与 AI 数据中心选址重排。</w:t>
        </w:r>
      </w:hyperlink>
    </w:p>
    <w:p>
      <w:pPr>
        <w:spacing w:after="140"/>
        <w:ind w:left="259" w:hanging="259"/>
      </w:pPr>
      <w:r>
        <w:rPr>
          <w:rFonts w:ascii="Calibri" w:hAnsi="Calibri" w:eastAsia="Heiti TC"/>
          <w:b/>
          <w:color w:val="285B9D"/>
          <w:sz w:val="21"/>
        </w:rPr>
        <w:t xml:space="preserve">证据密度: </w:t>
      </w:r>
      <w:hyperlink r:id="rId13">
        <w:r>
          <w:rPr>
            <w:color w:val="285B9D"/>
            <w:u w:val="single"/>
            <w:rFonts w:eastAsia="Heiti TC" w:ascii="Calibri" w:hAnsi="Calibri"/>
          </w:rPr>
          <w:t>宏观通胀传导 今日 150 条、近七日 1472 条，风险信号 1110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eiti TC"/>
                <w:b/>
                <w:color w:val="7A5A00"/>
                <w:sz w:val="21"/>
              </w:rPr>
              <w:t xml:space="preserve">投资解读: </w:t>
            </w:r>
            <w:r>
              <w:rPr>
                <w:rFonts w:ascii="Calibri" w:hAnsi="Calibri" w:eastAsia="Heiti T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25-web-trend.png"/>
                    <pic:cNvPicPr/>
                  </pic:nvPicPr>
                  <pic:blipFill>
                    <a:blip r:embed="rId14"/>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25-web-chains.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25-web-risk.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25-web-heatmap.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eiti TC"/>
          <w:b/>
          <w:i w:val="0"/>
          <w:color w:val="0B2545"/>
          <w:sz w:val="23"/>
        </w:rPr>
        <w:t>1. 2026-06-25 - 电网硬件瓶颈与 AI 数据中心选址重排</w:t>
      </w:r>
    </w:p>
    <w:p>
      <w:pPr>
        <w:spacing w:before="0" w:after="40" w:line="264" w:lineRule="auto"/>
      </w:pPr>
      <w:r>
        <w:rPr>
          <w:rFonts w:ascii="Calibri" w:hAnsi="Calibri" w:eastAsia="Heiti TC"/>
          <w:b w:val="0"/>
          <w:i w:val="0"/>
          <w:color w:val="667085"/>
          <w:sz w:val="17"/>
        </w:rPr>
        <w:t>未识别 · 电力与电网 · score 65.8</w:t>
      </w:r>
    </w:p>
    <w:p>
      <w:pPr>
        <w:spacing w:before="0" w:after="100" w:line="264" w:lineRule="auto"/>
      </w:pPr>
      <w:r>
        <w:rPr>
          <w:rFonts w:ascii="Calibri" w:hAnsi="Calibri" w:eastAsia="Heiti TC"/>
          <w:b w:val="0"/>
          <w:i w:val="0"/>
          <w:color w:val="334155"/>
          <w:sz w:val="20"/>
        </w:rPr>
        <w:t>截至权威工作日 2026-06-25 （Asia/Singapore），本报告片压力测试研究记录 06 的结论：AI 算力约束已从总能源量转向可送达电力容量，尤其是变压器、开关设备、变电站与并网改造 [自测算: 研究...</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reports/archive-ce9eb6c137b8</w:t>
        </w:r>
      </w:hyperlink>
    </w:p>
    <w:p>
      <w:pPr>
        <w:spacing w:before="0" w:after="40" w:line="264" w:lineRule="auto"/>
      </w:pPr>
      <w:r>
        <w:rPr>
          <w:rFonts w:ascii="Calibri" w:hAnsi="Calibri" w:eastAsia="Heiti TC"/>
          <w:b/>
          <w:i w:val="0"/>
          <w:color w:val="0B2545"/>
          <w:sz w:val="23"/>
        </w:rPr>
        <w:t>2. 关键电力设备（变压器／开关／UPS）的交付周期与产能约束评估</w:t>
      </w:r>
    </w:p>
    <w:p>
      <w:pPr>
        <w:spacing w:before="0" w:after="40" w:line="264" w:lineRule="auto"/>
      </w:pPr>
      <w:r>
        <w:rPr>
          <w:rFonts w:ascii="Calibri" w:hAnsi="Calibri" w:eastAsia="Heiti TC"/>
          <w:b w:val="0"/>
          <w:i w:val="0"/>
          <w:color w:val="667085"/>
          <w:sz w:val="17"/>
        </w:rPr>
        <w:t>未识别 · 工业供给瓶颈 · score 61.6</w:t>
      </w:r>
    </w:p>
    <w:p>
      <w:pPr>
        <w:spacing w:before="0" w:after="100" w:line="264" w:lineRule="auto"/>
      </w:pPr>
      <w:r>
        <w:rPr>
          <w:rFonts w:ascii="Calibri" w:hAnsi="Calibri" w:eastAsia="Heiti TC"/>
          <w:b w:val="0"/>
          <w:i w:val="0"/>
          <w:color w:val="334155"/>
          <w:sz w:val="20"/>
        </w:rPr>
        <w:t>研究记录 · 立场： 压力测试（stress-test） 分析师： 工业制造分析师（industrials-analyst） · 工作日： 2026-06-25（亚洲／新加坡） 根主题： 碳配额有偿比例提升及 CEA 价格走高情景下...</w:t>
      </w:r>
    </w:p>
    <w:p>
      <w:pPr>
        <w:spacing w:before="0" w:after="160" w:line="264" w:lineRule="auto"/>
      </w:pPr>
      <w:r>
        <w:rPr>
          <w:rFonts w:ascii="Calibri" w:hAnsi="Calibri" w:eastAsia="Heiti TC"/>
          <w:b w:val="0"/>
          <w:i w:val="0"/>
          <w:color w:val="667085"/>
          <w:sz w:val="17"/>
        </w:rPr>
        <w:t xml:space="preserve">Report: </w:t>
      </w:r>
      <w:hyperlink r:id="rId18">
        <w:r>
          <w:rPr>
            <w:color w:val="285B9D"/>
            <w:u w:val="single"/>
            <w:rFonts w:eastAsia="Heiti TC" w:ascii="Calibri" w:hAnsi="Calibri"/>
          </w:rPr>
          <w:t>reports/archive-17e7b8b9bc0c</w:t>
        </w:r>
      </w:hyperlink>
    </w:p>
    <w:p>
      <w:pPr>
        <w:spacing w:before="0" w:after="40" w:line="264" w:lineRule="auto"/>
      </w:pPr>
      <w:r>
        <w:rPr>
          <w:rFonts w:ascii="Calibri" w:hAnsi="Calibri" w:eastAsia="Heiti TC"/>
          <w:b/>
          <w:i w:val="0"/>
          <w:color w:val="0B2545"/>
          <w:sz w:val="23"/>
        </w:rPr>
        <w:t>3. 对 xAI 算力扩张的压力测试：AI 基础设施与能源供应能否支撑？</w:t>
      </w:r>
    </w:p>
    <w:p>
      <w:pPr>
        <w:spacing w:before="0" w:after="40" w:line="264" w:lineRule="auto"/>
      </w:pPr>
      <w:r>
        <w:rPr>
          <w:rFonts w:ascii="Calibri" w:hAnsi="Calibri" w:eastAsia="Heiti TC"/>
          <w:b w:val="0"/>
          <w:i w:val="0"/>
          <w:color w:val="667085"/>
          <w:sz w:val="17"/>
        </w:rPr>
        <w:t>未识别 · AI 基础设施 · score 56.6</w:t>
      </w:r>
    </w:p>
    <w:p>
      <w:pPr>
        <w:spacing w:before="0" w:after="100" w:line="264" w:lineRule="auto"/>
      </w:pPr>
      <w:r>
        <w:rPr>
          <w:rFonts w:ascii="Calibri" w:hAnsi="Calibri" w:eastAsia="Heiti TC"/>
          <w:b w:val="0"/>
          <w:i w:val="0"/>
          <w:color w:val="334155"/>
          <w:sz w:val="20"/>
        </w:rPr>
        <w:t>AI 基础设施研究台 研究记录 工作日：2026-06-25（亚洲/新加坡） 分析师：AI 基础设施分析师（算力 / 数据中心 / GPU 集群 / 电力与电网瓶颈 / 超大规模厂商资本开支） 会话根主题： 空间经济从...</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reports/archive-278ac9f09c9e</w:t>
        </w:r>
      </w:hyperlink>
    </w:p>
    <w:p>
      <w:pPr>
        <w:spacing w:before="0" w:after="40" w:line="264" w:lineRule="auto"/>
      </w:pPr>
      <w:r>
        <w:rPr>
          <w:rFonts w:ascii="Calibri" w:hAnsi="Calibri" w:eastAsia="Heiti TC"/>
          <w:b/>
          <w:i w:val="0"/>
          <w:color w:val="0B2545"/>
          <w:sz w:val="23"/>
        </w:rPr>
        <w:t>4. AI 算力基础设施电力与电网瓶颈：资本开支效率压力测试</w:t>
      </w:r>
    </w:p>
    <w:p>
      <w:pPr>
        <w:spacing w:before="0" w:after="40" w:line="264" w:lineRule="auto"/>
      </w:pPr>
      <w:r>
        <w:rPr>
          <w:rFonts w:ascii="Calibri" w:hAnsi="Calibri" w:eastAsia="Heiti TC"/>
          <w:b w:val="0"/>
          <w:i w:val="0"/>
          <w:color w:val="667085"/>
          <w:sz w:val="17"/>
        </w:rPr>
        <w:t>未识别 · AI 基础设施 · score 56.6</w:t>
      </w:r>
    </w:p>
    <w:p>
      <w:pPr>
        <w:spacing w:before="0" w:after="100" w:line="264" w:lineRule="auto"/>
      </w:pPr>
      <w:r>
        <w:rPr>
          <w:rFonts w:ascii="Calibri" w:hAnsi="Calibri" w:eastAsia="Heiti TC"/>
          <w:b w:val="0"/>
          <w:i w:val="0"/>
          <w:color w:val="334155"/>
          <w:sz w:val="20"/>
        </w:rPr>
        <w:t>报告日期： 2026-06-25 (亚洲/新加坡) 研究记录索引： 4/8 分析师： 能源行业分析师 (ID: energy-analyst) 研究立场： 压力测试 (Stress-Test，对电网瓶颈与数据中心经济性的前序假设进行量化压...</w:t>
      </w:r>
    </w:p>
    <w:p>
      <w:pPr>
        <w:spacing w:before="0" w:after="160" w:line="264" w:lineRule="auto"/>
      </w:pPr>
      <w:r>
        <w:rPr>
          <w:rFonts w:ascii="Calibri" w:hAnsi="Calibri" w:eastAsia="Heiti TC"/>
          <w:b w:val="0"/>
          <w:i w:val="0"/>
          <w:color w:val="667085"/>
          <w:sz w:val="17"/>
        </w:rPr>
        <w:t xml:space="preserve">Report: </w:t>
      </w:r>
      <w:hyperlink r:id="rId20">
        <w:r>
          <w:rPr>
            <w:color w:val="285B9D"/>
            <w:u w:val="single"/>
            <w:rFonts w:eastAsia="Heiti TC" w:ascii="Calibri" w:hAnsi="Calibri"/>
          </w:rPr>
          <w:t>reports/archive-494f2b133d20</w:t>
        </w:r>
      </w:hyperlink>
    </w:p>
    <w:p>
      <w:pPr>
        <w:spacing w:before="0" w:after="40" w:line="264" w:lineRule="auto"/>
      </w:pPr>
      <w:r>
        <w:rPr>
          <w:rFonts w:ascii="Calibri" w:hAnsi="Calibri" w:eastAsia="Heiti TC"/>
          <w:b/>
          <w:i w:val="0"/>
          <w:color w:val="0B2545"/>
          <w:sz w:val="23"/>
        </w:rPr>
        <w:t>5. 电网侧容量扩容与变压器产能瓶颈的压力测试报告</w:t>
      </w:r>
    </w:p>
    <w:p>
      <w:pPr>
        <w:spacing w:before="0" w:after="40" w:line="264" w:lineRule="auto"/>
      </w:pPr>
      <w:r>
        <w:rPr>
          <w:rFonts w:ascii="Calibri" w:hAnsi="Calibri" w:eastAsia="Heiti TC"/>
          <w:b w:val="0"/>
          <w:i w:val="0"/>
          <w:color w:val="667085"/>
          <w:sz w:val="17"/>
        </w:rPr>
        <w:t>未识别 · 电力与电网 · score 55.0</w:t>
      </w:r>
    </w:p>
    <w:p>
      <w:pPr>
        <w:spacing w:before="0" w:after="100" w:line="264" w:lineRule="auto"/>
      </w:pPr>
      <w:r>
        <w:rPr>
          <w:rFonts w:ascii="Calibri" w:hAnsi="Calibri" w:eastAsia="Heiti TC"/>
          <w:b w:val="0"/>
          <w:i w:val="0"/>
          <w:color w:val="334155"/>
          <w:sz w:val="20"/>
        </w:rPr>
        <w:t>分析师： 公用事业分析师 ( utilities-analyst ) 报告日期： 2026-06-25 (亚洲/新加坡) Board ID: d6884ba7-d428-4c1b-b911-c1393c6f24ef 研究记录索引： 2/8 当前立场： 压力测试 (Stress-Test...</w:t>
      </w:r>
    </w:p>
    <w:p>
      <w:pPr>
        <w:spacing w:before="0" w:after="160" w:line="264" w:lineRule="auto"/>
      </w:pPr>
      <w:r>
        <w:rPr>
          <w:rFonts w:ascii="Calibri" w:hAnsi="Calibri" w:eastAsia="Heiti TC"/>
          <w:b w:val="0"/>
          <w:i w:val="0"/>
          <w:color w:val="667085"/>
          <w:sz w:val="17"/>
        </w:rPr>
        <w:t xml:space="preserve">Report: </w:t>
      </w:r>
      <w:hyperlink r:id="rId21">
        <w:r>
          <w:rPr>
            <w:color w:val="285B9D"/>
            <w:u w:val="single"/>
            <w:rFonts w:eastAsia="Heiti TC" w:ascii="Calibri" w:hAnsi="Calibri"/>
          </w:rPr>
          <w:t>reports/archive-50ae1e1ecb9d</w:t>
        </w:r>
      </w:hyperlink>
    </w:p>
    <w:p>
      <w:pPr>
        <w:spacing w:before="0" w:after="40" w:line="264" w:lineRule="auto"/>
      </w:pPr>
      <w:r>
        <w:rPr>
          <w:rFonts w:ascii="Calibri" w:hAnsi="Calibri" w:eastAsia="Heiti TC"/>
          <w:b/>
          <w:i w:val="0"/>
          <w:color w:val="0B2545"/>
          <w:sz w:val="23"/>
        </w:rPr>
        <w:t>6. AI数据中心电力接入瓶颈与配电设备资本开支 - 2026-06-25</w:t>
      </w:r>
    </w:p>
    <w:p>
      <w:pPr>
        <w:spacing w:before="0" w:after="40" w:line="264" w:lineRule="auto"/>
      </w:pPr>
      <w:r>
        <w:rPr>
          <w:rFonts w:ascii="Calibri" w:hAnsi="Calibri" w:eastAsia="Heiti TC"/>
          <w:b w:val="0"/>
          <w:i w:val="0"/>
          <w:color w:val="667085"/>
          <w:sz w:val="17"/>
        </w:rPr>
        <w:t>未识别 · AI 基础设施 · score 53.9</w:t>
      </w:r>
    </w:p>
    <w:p>
      <w:pPr>
        <w:spacing w:before="0" w:after="100" w:line="264" w:lineRule="auto"/>
      </w:pPr>
      <w:r>
        <w:rPr>
          <w:rFonts w:ascii="Calibri" w:hAnsi="Calibri" w:eastAsia="Heiti TC"/>
          <w:b w:val="0"/>
          <w:i w:val="0"/>
          <w:color w:val="334155"/>
          <w:sz w:val="20"/>
        </w:rPr>
        <w:t>截至2026-06-25，本报告片支持前序链条：AI数据中心在2030年前大概率不会在中国造成全国性电力短缺，但局部firm MW接入已经成为Hyperscaler选址的硬约束，并直接拉动变压器、中压开关、UPS/HVDC...</w:t>
      </w:r>
    </w:p>
    <w:p>
      <w:pPr>
        <w:spacing w:before="0" w:after="160" w:line="264" w:lineRule="auto"/>
      </w:pPr>
      <w:r>
        <w:rPr>
          <w:rFonts w:ascii="Calibri" w:hAnsi="Calibri" w:eastAsia="Heiti TC"/>
          <w:b w:val="0"/>
          <w:i w:val="0"/>
          <w:color w:val="667085"/>
          <w:sz w:val="17"/>
        </w:rPr>
        <w:t xml:space="preserve">Report: </w:t>
      </w:r>
      <w:hyperlink r:id="rId22">
        <w:r>
          <w:rPr>
            <w:color w:val="285B9D"/>
            <w:u w:val="single"/>
            <w:rFonts w:eastAsia="Heiti TC" w:ascii="Calibri" w:hAnsi="Calibri"/>
          </w:rPr>
          <w:t>reports/archive-404efaacd739</w:t>
        </w:r>
      </w:hyperlink>
    </w:p>
    <w:p>
      <w:pPr>
        <w:pStyle w:val="Heading1"/>
      </w:pPr>
      <w:r>
        <w:t>4. 重点跟踪事项</w:t>
      </w:r>
    </w:p>
    <w:p>
      <w:pPr>
        <w:spacing w:before="0" w:after="40" w:line="264" w:lineRule="auto"/>
      </w:pPr>
      <w:r>
        <w:rPr>
          <w:rFonts w:ascii="Calibri" w:hAnsi="Calibri" w:eastAsia="Heiti TC"/>
          <w:b/>
          <w:i w:val="0"/>
          <w:color w:val="0B2545"/>
          <w:sz w:val="22"/>
        </w:rPr>
        <w:t>2026-06-25 - 电网硬件瓶颈与 AI 数据中心选址重排</w:t>
      </w:r>
    </w:p>
    <w:p>
      <w:pPr>
        <w:spacing w:before="0" w:after="60" w:line="264" w:lineRule="auto"/>
      </w:pPr>
      <w:r>
        <w:rPr>
          <w:rFonts w:ascii="Calibri" w:hAnsi="Calibri" w:eastAsia="Heiti TC"/>
          <w:b w:val="0"/>
          <w:i w:val="0"/>
          <w:color w:val="334155"/>
          <w:sz w:val="20"/>
        </w:rPr>
        <w:t>电力与电网，影响 5 / 概率 4</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reports/archive-ce9eb6c137b8</w:t>
        </w:r>
      </w:hyperlink>
    </w:p>
    <w:p>
      <w:pPr>
        <w:spacing w:before="0" w:after="40" w:line="264" w:lineRule="auto"/>
      </w:pPr>
      <w:r>
        <w:rPr>
          <w:rFonts w:ascii="Calibri" w:hAnsi="Calibri" w:eastAsia="Heiti TC"/>
          <w:b/>
          <w:i w:val="0"/>
          <w:color w:val="0B2545"/>
          <w:sz w:val="22"/>
        </w:rPr>
        <w:t>2026-06-20 半导体压力测试：电网交付约束下的 AI 芯片架构</w:t>
      </w:r>
    </w:p>
    <w:p>
      <w:pPr>
        <w:spacing w:before="0" w:after="60" w:line="264" w:lineRule="auto"/>
      </w:pPr>
      <w:r>
        <w:rPr>
          <w:rFonts w:ascii="Calibri" w:hAnsi="Calibri" w:eastAsia="Heiti TC"/>
          <w:b w:val="0"/>
          <w:i w:val="0"/>
          <w:color w:val="334155"/>
          <w:sz w:val="20"/>
        </w:rPr>
        <w:t>工业供给瓶颈，影响 5 / 概率 3</w:t>
      </w:r>
    </w:p>
    <w:p>
      <w:pPr>
        <w:spacing w:before="0" w:after="160" w:line="264" w:lineRule="auto"/>
      </w:pPr>
      <w:r>
        <w:rPr>
          <w:rFonts w:ascii="Calibri" w:hAnsi="Calibri" w:eastAsia="Heiti TC"/>
          <w:b w:val="0"/>
          <w:i w:val="0"/>
          <w:color w:val="667085"/>
          <w:sz w:val="17"/>
        </w:rPr>
        <w:t xml:space="preserve">Report: </w:t>
      </w:r>
      <w:hyperlink r:id="rId23">
        <w:r>
          <w:rPr>
            <w:color w:val="285B9D"/>
            <w:u w:val="single"/>
            <w:rFonts w:eastAsia="Heiti TC" w:ascii="Calibri" w:hAnsi="Calibri"/>
          </w:rPr>
          <w:t>reports/archive-3c4c82a3cb4b</w:t>
        </w:r>
      </w:hyperlink>
    </w:p>
    <w:p>
      <w:pPr>
        <w:spacing w:before="0" w:after="40" w:line="264" w:lineRule="auto"/>
      </w:pPr>
      <w:r>
        <w:rPr>
          <w:rFonts w:ascii="Calibri" w:hAnsi="Calibri" w:eastAsia="Heiti TC"/>
          <w:b/>
          <w:i w:val="0"/>
          <w:color w:val="0B2545"/>
          <w:sz w:val="22"/>
        </w:rPr>
        <w:t>关键电力设备（变压器／开关／UPS）的交付周期与产能约束评估</w:t>
      </w:r>
    </w:p>
    <w:p>
      <w:pPr>
        <w:spacing w:before="0" w:after="60" w:line="264" w:lineRule="auto"/>
      </w:pPr>
      <w:r>
        <w:rPr>
          <w:rFonts w:ascii="Calibri" w:hAnsi="Calibri" w:eastAsia="Heiti TC"/>
          <w:b w:val="0"/>
          <w:i w:val="0"/>
          <w:color w:val="334155"/>
          <w:sz w:val="20"/>
        </w:rPr>
        <w:t>工业供给瓶颈，影响 5 / 概率 3</w:t>
      </w:r>
    </w:p>
    <w:p>
      <w:pPr>
        <w:spacing w:before="0" w:after="160" w:line="264" w:lineRule="auto"/>
      </w:pPr>
      <w:r>
        <w:rPr>
          <w:rFonts w:ascii="Calibri" w:hAnsi="Calibri" w:eastAsia="Heiti TC"/>
          <w:b w:val="0"/>
          <w:i w:val="0"/>
          <w:color w:val="667085"/>
          <w:sz w:val="17"/>
        </w:rPr>
        <w:t xml:space="preserve">Report: </w:t>
      </w:r>
      <w:hyperlink r:id="rId18">
        <w:r>
          <w:rPr>
            <w:color w:val="285B9D"/>
            <w:u w:val="single"/>
            <w:rFonts w:eastAsia="Heiti TC" w:ascii="Calibri" w:hAnsi="Calibri"/>
          </w:rPr>
          <w:t>reports/archive-17e7b8b9bc0c</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eiti TC"/>
                <w:b/>
                <w:color w:val="475569"/>
                <w:sz w:val="18"/>
              </w:rPr>
              <w:t>报告</w:t>
            </w:r>
          </w:p>
        </w:tc>
        <w:tc>
          <w:tcPr>
            <w:tcW w:type="dxa" w:w="1560"/>
            <w:vAlign w:val="center"/>
            <w:shd w:fill="F2F4F7"/>
          </w:tcPr>
          <w:p>
            <w:pPr>
              <w:spacing w:before="0" w:after="0"/>
              <w:jc w:val="center"/>
            </w:pPr>
            <w:r/>
            <w:r>
              <w:rPr>
                <w:rFonts w:ascii="Calibri" w:hAnsi="Calibri" w:eastAsia="Heiti TC"/>
                <w:b/>
                <w:color w:val="475569"/>
                <w:sz w:val="18"/>
              </w:rPr>
              <w:t>分析师</w:t>
            </w:r>
          </w:p>
        </w:tc>
        <w:tc>
          <w:tcPr>
            <w:tcW w:type="dxa" w:w="1680"/>
            <w:vAlign w:val="center"/>
            <w:shd w:fill="F2F4F7"/>
          </w:tcPr>
          <w:p>
            <w:pPr>
              <w:spacing w:before="0" w:after="0"/>
              <w:jc w:val="center"/>
            </w:pPr>
            <w:r/>
            <w:r>
              <w:rPr>
                <w:rFonts w:ascii="Calibri" w:hAnsi="Calibri" w:eastAsia="Heiti TC"/>
                <w:b/>
                <w:color w:val="475569"/>
                <w:sz w:val="18"/>
              </w:rPr>
              <w:t>行业链</w:t>
            </w:r>
          </w:p>
        </w:tc>
        <w:tc>
          <w:tcPr>
            <w:tcW w:type="dxa" w:w="900"/>
            <w:vAlign w:val="center"/>
            <w:shd w:fill="F2F4F7"/>
          </w:tcPr>
          <w:p>
            <w:pPr>
              <w:spacing w:before="0" w:after="0"/>
              <w:jc w:val="center"/>
            </w:pPr>
            <w:r/>
            <w:r>
              <w:rPr>
                <w:rFonts w:ascii="Calibri" w:hAnsi="Calibri" w:eastAsia="Heiti TC"/>
                <w:b/>
                <w:color w:val="475569"/>
                <w:sz w:val="18"/>
              </w:rPr>
              <w:t>评分</w:t>
            </w:r>
          </w:p>
        </w:tc>
        <w:tc>
          <w:tcPr>
            <w:tcW w:type="dxa" w:w="1500"/>
            <w:vAlign w:val="center"/>
            <w:shd w:fill="F2F4F7"/>
          </w:tcPr>
          <w:p>
            <w:pPr>
              <w:spacing w:before="0" w:after="0"/>
              <w:jc w:val="center"/>
            </w:pPr>
            <w:r/>
            <w:r>
              <w:rPr>
                <w:rFonts w:ascii="Calibri" w:hAnsi="Calibri" w:eastAsia="Heiti TC"/>
                <w:b/>
                <w:color w:val="475569"/>
                <w:sz w:val="18"/>
              </w:rPr>
              <w:t>风险</w:t>
            </w:r>
          </w:p>
        </w:tc>
      </w:tr>
      <w:tr>
        <w:tc>
          <w:tcPr>
            <w:tcW w:type="dxa" w:w="3720"/>
            <w:vAlign w:val="center"/>
          </w:tcPr>
          <w:p>
            <w:pPr>
              <w:spacing w:before="0" w:after="0"/>
            </w:pPr>
            <w:r/>
            <w:r>
              <w:rPr>
                <w:rFonts w:ascii="Calibri" w:hAnsi="Calibri" w:eastAsia="Heiti TC"/>
                <w:b w:val="0"/>
                <w:color w:val="111827"/>
                <w:sz w:val="17"/>
              </w:rPr>
              <w:t>2026-06-25 - 电网硬件瓶颈与 AI 数据中心选址重排</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65.8</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关键电力设备（变压器／开关／UPS）的交付周期与产能约束评估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61.6</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对 xAI 算力扩张的压力测试：AI 基础设施与能源供应能否支撑？</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56.6</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 算力基础设施电力与电网瓶颈：资本开支效率压力测试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56.6</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电网侧容量扩容与变压器产能瓶颈的压力测试报告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55.0</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AI数据中心电力接入瓶颈与配电设备资本开支 - 2026-06-25</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53.9</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公用事业2026-06-25 - 电网扩容瓶颈与 AI 负荷增速错配</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53.8</w:t>
            </w:r>
          </w:p>
        </w:tc>
        <w:tc>
          <w:tcPr>
            <w:tcW w:type="dxa" w:w="1500"/>
            <w:vAlign w:val="center"/>
          </w:tcPr>
          <w:p>
            <w:pPr>
              <w:spacing w:before="0" w:after="0"/>
              <w:jc w:val="center"/>
            </w:pPr>
            <w:r/>
            <w:r>
              <w:rPr>
                <w:rFonts w:ascii="Calibri" w:hAnsi="Calibri" w:eastAsia="Heiti TC"/>
                <w:b w:val="0"/>
                <w:color w:val="111827"/>
                <w:sz w:val="16"/>
              </w:rPr>
              <w:t>风险 4</w:t>
            </w:r>
          </w:p>
        </w:tc>
      </w:tr>
      <w:tr>
        <w:tc>
          <w:tcPr>
            <w:tcW w:type="dxa" w:w="3720"/>
            <w:vAlign w:val="center"/>
          </w:tcPr>
          <w:p>
            <w:pPr>
              <w:spacing w:before="0" w:after="0"/>
            </w:pPr>
            <w:r/>
            <w:r>
              <w:rPr>
                <w:rFonts w:ascii="Calibri" w:hAnsi="Calibri" w:eastAsia="Heiti TC"/>
                <w:b w:val="0"/>
                <w:color w:val="111827"/>
                <w:sz w:val="17"/>
              </w:rPr>
              <w:t>能源约束下的 GPU 采购：电价波动、BYOP 脆弱性与能效比转向</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52.3</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电网扩容速度与AI算力负荷激增的匹配性——变压器与开关设备压力测试——2026-06-25</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52.2</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铜精矿供应缺口及价格预期对全球电气设备成本链的影响压力测试报告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52.1</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电力与输变电供应链通胀对AI芯片制造与封装成本的影响分析：资本回报率 (ROI) 与毛利率压力测试报...</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52.0</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2026-06-25 — “瓦特杠杆”进入推理经济性</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51.6</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电力设备扩容滞后背景下，能源生产侧（风、光、核）产能释放与电网配套的协同性及消纳错配压力测试...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51.5</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关于美国电网并网周期与交期瓶颈对国内电力设备及算力硬件出海链影响的评估报告</w:t>
            </w:r>
          </w:p>
        </w:tc>
        <w:tc>
          <w:tcPr>
            <w:tcW w:type="dxa" w:w="1560"/>
            <w:vAlign w:val="center"/>
          </w:tcPr>
          <w:p>
            <w:pPr>
              <w:spacing w:before="0" w:after="0"/>
            </w:pPr>
            <w:r/>
            <w:r>
              <w:rPr>
                <w:rFonts w:ascii="Calibri" w:hAnsi="Calibri" w:eastAsia="Heiti TC"/>
                <w:b w:val="0"/>
                <w:color w:val="111827"/>
                <w:sz w:val="16"/>
              </w:rPr>
              <w:t>公用事业分析师</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51.5</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GPU降价与并网延迟：能否保住CSP Capex效率和利润率？</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51.1</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区域电网与配电网升级能否抵消 AI 算力集群的电力瓶颈</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50.3</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 算力经济性：电力成本飙升对数据中心投资回报率（ROI）的压力测试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50.0</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 算力规模扩张对全球能源供应与价格传导的压力测试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49.9</w:t>
            </w:r>
          </w:p>
        </w:tc>
        <w:tc>
          <w:tcPr>
            <w:tcW w:type="dxa" w:w="1500"/>
            <w:vAlign w:val="center"/>
          </w:tcPr>
          <w:p>
            <w:pPr>
              <w:spacing w:before="0" w:after="0"/>
              <w:jc w:val="center"/>
            </w:pPr>
            <w:r/>
            <w:r>
              <w:rPr>
                <w:rFonts w:ascii="Calibri" w:hAnsi="Calibri" w:eastAsia="Heiti TC"/>
                <w:b w:val="0"/>
                <w:color w:val="111827"/>
                <w:sz w:val="16"/>
              </w:rPr>
              <w:t>风险 1</w:t>
            </w:r>
          </w:p>
        </w:tc>
      </w:tr>
    </w:tbl>
    <w:p>
      <w:pPr>
        <w:spacing w:before="0" w:after="160" w:line="264" w:lineRule="auto"/>
      </w:pPr>
      <w:r>
        <w:rPr>
          <w:rFonts w:ascii="Calibri" w:hAnsi="Calibri" w:eastAsia="Heiti T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T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eiti T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eiti T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eiti T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eiti T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eiti T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eiti T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eiti T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ce9eb6c137b8" TargetMode="External"/><Relationship Id="rId13" Type="http://schemas.openxmlformats.org/officeDocument/2006/relationships/hyperlink" Target="reports/archive-f42035d9a98a"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reports/archive-17e7b8b9bc0c" TargetMode="External"/><Relationship Id="rId19" Type="http://schemas.openxmlformats.org/officeDocument/2006/relationships/hyperlink" Target="reports/archive-278ac9f09c9e" TargetMode="External"/><Relationship Id="rId20" Type="http://schemas.openxmlformats.org/officeDocument/2006/relationships/hyperlink" Target="reports/archive-494f2b133d20" TargetMode="External"/><Relationship Id="rId21" Type="http://schemas.openxmlformats.org/officeDocument/2006/relationships/hyperlink" Target="reports/archive-50ae1e1ecb9d" TargetMode="External"/><Relationship Id="rId22" Type="http://schemas.openxmlformats.org/officeDocument/2006/relationships/hyperlink" Target="reports/archive-404efaacd739" TargetMode="External"/><Relationship Id="rId23" Type="http://schemas.openxmlformats.org/officeDocument/2006/relationships/hyperlink" Target="reports/archive-3c4c82a3cb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2026-06-25</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